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5FA42EC7" w:rsidR="00607F16" w:rsidRPr="00722F80" w:rsidRDefault="00607F16" w:rsidP="00F4792C">
      <w:pPr>
        <w:spacing w:after="120"/>
        <w:jc w:val="center"/>
        <w:rPr>
          <w:rFonts w:asciiTheme="majorHAnsi" w:hAnsiTheme="majorHAnsi" w:cstheme="majorHAnsi"/>
          <w:b/>
          <w:bCs/>
          <w:sz w:val="22"/>
          <w:szCs w:val="22"/>
          <w:lang w:val="en-GB"/>
        </w:rPr>
      </w:pPr>
      <w:r w:rsidRPr="00722F80">
        <w:rPr>
          <w:rFonts w:asciiTheme="majorHAnsi" w:hAnsiTheme="majorHAnsi" w:cstheme="majorHAnsi"/>
          <w:b/>
          <w:noProof/>
          <w:szCs w:val="22"/>
          <w:lang w:val="en-GB"/>
        </w:rPr>
        <w:tab/>
      </w:r>
    </w:p>
    <w:p w14:paraId="4F0D8E32" w14:textId="20517B37" w:rsidR="00607F16" w:rsidRPr="00722F80" w:rsidRDefault="00607F16" w:rsidP="00F4792C">
      <w:pPr>
        <w:spacing w:after="120"/>
        <w:jc w:val="center"/>
        <w:rPr>
          <w:rFonts w:asciiTheme="majorHAnsi" w:hAnsiTheme="majorHAnsi" w:cstheme="majorHAnsi"/>
          <w:b/>
          <w:bCs/>
          <w:sz w:val="22"/>
          <w:szCs w:val="22"/>
          <w:lang w:val="en-GB"/>
        </w:rPr>
      </w:pPr>
    </w:p>
    <w:p w14:paraId="70F0B3A3" w14:textId="63DA939C" w:rsidR="00607F16" w:rsidRPr="00722F80" w:rsidRDefault="00607F16" w:rsidP="00F4792C">
      <w:pPr>
        <w:spacing w:after="120"/>
        <w:jc w:val="center"/>
        <w:rPr>
          <w:rFonts w:asciiTheme="majorHAnsi" w:hAnsiTheme="majorHAnsi" w:cstheme="majorHAnsi"/>
          <w:b/>
          <w:bCs/>
          <w:sz w:val="22"/>
          <w:szCs w:val="22"/>
          <w:lang w:val="en-GB"/>
        </w:rPr>
      </w:pPr>
    </w:p>
    <w:p w14:paraId="535DB584" w14:textId="4D096DBB" w:rsidR="00607F16" w:rsidRPr="00722F80" w:rsidRDefault="00607F16" w:rsidP="00F4792C">
      <w:pPr>
        <w:spacing w:after="120"/>
        <w:jc w:val="center"/>
        <w:rPr>
          <w:rFonts w:asciiTheme="majorHAnsi" w:hAnsiTheme="majorHAnsi" w:cstheme="majorHAnsi"/>
          <w:b/>
          <w:bCs/>
          <w:sz w:val="22"/>
          <w:szCs w:val="22"/>
          <w:lang w:val="en-GB"/>
        </w:rPr>
      </w:pPr>
    </w:p>
    <w:p w14:paraId="5D30E948" w14:textId="77777777" w:rsidR="00903418" w:rsidRPr="00722F80"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50C0614C" w14:textId="284E416E" w:rsidR="00607F16" w:rsidRPr="00722F80"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722F80">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722F80"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722F80">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722F80"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10AA1DDB" w:rsidR="002D562D" w:rsidRPr="00722F80"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9481F31" w14:textId="77777777" w:rsidR="00903418" w:rsidRPr="00722F80"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722F80"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722F80">
        <w:rPr>
          <w:rFonts w:asciiTheme="majorHAnsi" w:eastAsia="Malgun Gothic" w:hAnsiTheme="majorHAnsi" w:cstheme="majorHAnsi"/>
          <w:b w:val="0"/>
          <w:bCs w:val="0"/>
          <w:kern w:val="0"/>
          <w:sz w:val="32"/>
          <w:szCs w:val="32"/>
          <w:lang w:val="en-GB" w:eastAsia="en-GB"/>
        </w:rPr>
        <w:t>INVITATION TO TENDER</w:t>
      </w:r>
    </w:p>
    <w:p w14:paraId="1EA14491" w14:textId="1148B80D" w:rsidR="00607F16" w:rsidRPr="00722F80" w:rsidRDefault="00607F16" w:rsidP="00607F16">
      <w:pPr>
        <w:shd w:val="clear" w:color="auto" w:fill="FFFFFF"/>
        <w:spacing w:before="120" w:after="120"/>
        <w:jc w:val="center"/>
        <w:rPr>
          <w:rFonts w:asciiTheme="majorHAnsi" w:hAnsiTheme="majorHAnsi" w:cstheme="majorHAnsi"/>
          <w:color w:val="000000"/>
          <w:spacing w:val="2"/>
          <w:lang w:val="en-GB"/>
        </w:rPr>
      </w:pPr>
    </w:p>
    <w:p w14:paraId="2DC98DB6" w14:textId="77777777" w:rsidR="00903418" w:rsidRPr="00722F80" w:rsidRDefault="00903418"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722F80" w:rsidRDefault="002D562D" w:rsidP="00607F16">
      <w:pPr>
        <w:shd w:val="clear" w:color="auto" w:fill="FFFFFF"/>
        <w:spacing w:before="120" w:after="120"/>
        <w:jc w:val="center"/>
        <w:rPr>
          <w:rFonts w:asciiTheme="majorHAnsi" w:hAnsiTheme="majorHAnsi" w:cstheme="majorHAnsi"/>
          <w:color w:val="000000"/>
          <w:spacing w:val="2"/>
          <w:lang w:val="en-GB"/>
        </w:rPr>
      </w:pPr>
    </w:p>
    <w:p w14:paraId="425A4FD5" w14:textId="680C8D82" w:rsidR="00337399" w:rsidRPr="00722F80" w:rsidRDefault="00607F16" w:rsidP="00337399">
      <w:pPr>
        <w:spacing w:after="120"/>
        <w:jc w:val="center"/>
        <w:rPr>
          <w:rFonts w:asciiTheme="majorHAnsi" w:eastAsia="Malgun Gothic" w:hAnsiTheme="majorHAnsi" w:cstheme="majorHAnsi"/>
          <w:spacing w:val="-7"/>
          <w:sz w:val="32"/>
          <w:szCs w:val="32"/>
          <w:lang w:val="en-GB" w:eastAsia="en-GB"/>
        </w:rPr>
      </w:pPr>
      <w:r w:rsidRPr="00722F80">
        <w:rPr>
          <w:rFonts w:asciiTheme="majorHAnsi" w:eastAsia="Malgun Gothic" w:hAnsiTheme="majorHAnsi" w:cstheme="majorHAnsi"/>
          <w:spacing w:val="-7"/>
          <w:sz w:val="32"/>
          <w:szCs w:val="32"/>
          <w:lang w:val="en-GB" w:eastAsia="en-GB"/>
        </w:rPr>
        <w:t>PROCUREMENT SUBJECT:</w:t>
      </w:r>
      <w:r w:rsidR="00337399" w:rsidRPr="00722F80">
        <w:rPr>
          <w:rFonts w:asciiTheme="majorHAnsi" w:eastAsia="Malgun Gothic" w:hAnsiTheme="majorHAnsi" w:cstheme="majorHAnsi"/>
          <w:spacing w:val="-7"/>
          <w:sz w:val="32"/>
          <w:szCs w:val="32"/>
          <w:lang w:val="en-GB" w:eastAsia="en-GB"/>
        </w:rPr>
        <w:t xml:space="preserve"> </w:t>
      </w:r>
      <w:r w:rsidR="005118C0">
        <w:rPr>
          <w:rFonts w:asciiTheme="majorHAnsi" w:eastAsia="Malgun Gothic" w:hAnsiTheme="majorHAnsi" w:cstheme="majorHAnsi"/>
          <w:spacing w:val="-7"/>
          <w:sz w:val="32"/>
          <w:szCs w:val="32"/>
          <w:lang w:val="en-GB" w:eastAsia="en-GB"/>
        </w:rPr>
        <w:t>Tenderer</w:t>
      </w:r>
      <w:r w:rsidR="00337399" w:rsidRPr="00722F80">
        <w:rPr>
          <w:rFonts w:asciiTheme="majorHAnsi" w:eastAsia="Malgun Gothic" w:hAnsiTheme="majorHAnsi" w:cstheme="majorHAnsi"/>
          <w:spacing w:val="-7"/>
          <w:sz w:val="32"/>
          <w:szCs w:val="32"/>
          <w:lang w:val="en-GB" w:eastAsia="en-GB"/>
        </w:rPr>
        <w:t xml:space="preserve"> </w:t>
      </w:r>
      <w:r w:rsidR="00CE27D1" w:rsidRPr="00722F80">
        <w:rPr>
          <w:rFonts w:asciiTheme="majorHAnsi" w:eastAsia="Malgun Gothic" w:hAnsiTheme="majorHAnsi" w:cstheme="majorHAnsi"/>
          <w:spacing w:val="-7"/>
          <w:sz w:val="32"/>
          <w:szCs w:val="32"/>
          <w:lang w:val="en-GB" w:eastAsia="en-GB"/>
        </w:rPr>
        <w:t>to</w:t>
      </w:r>
      <w:r w:rsidR="00337399" w:rsidRPr="00722F80">
        <w:rPr>
          <w:rFonts w:asciiTheme="majorHAnsi" w:eastAsia="Malgun Gothic" w:hAnsiTheme="majorHAnsi" w:cstheme="majorHAnsi"/>
          <w:spacing w:val="-7"/>
          <w:sz w:val="32"/>
          <w:szCs w:val="32"/>
          <w:lang w:val="en-GB" w:eastAsia="en-GB"/>
        </w:rPr>
        <w:t xml:space="preserve"> </w:t>
      </w:r>
      <w:r w:rsidR="00F0103A" w:rsidRPr="00722F80">
        <w:rPr>
          <w:rFonts w:asciiTheme="majorHAnsi" w:eastAsia="Malgun Gothic" w:hAnsiTheme="majorHAnsi" w:cstheme="majorHAnsi"/>
          <w:spacing w:val="-7"/>
          <w:sz w:val="32"/>
          <w:szCs w:val="32"/>
          <w:lang w:val="en-GB" w:eastAsia="en-GB"/>
        </w:rPr>
        <w:t xml:space="preserve">provide </w:t>
      </w:r>
      <w:r w:rsidR="009D3C45">
        <w:rPr>
          <w:rFonts w:asciiTheme="majorHAnsi" w:eastAsia="Malgun Gothic" w:hAnsiTheme="majorHAnsi" w:cstheme="majorHAnsi"/>
          <w:spacing w:val="-7"/>
          <w:sz w:val="32"/>
          <w:szCs w:val="32"/>
          <w:lang w:val="en-GB" w:eastAsia="en-GB"/>
        </w:rPr>
        <w:t xml:space="preserve">a </w:t>
      </w:r>
      <w:r w:rsidR="00233FE6" w:rsidRPr="00722F80">
        <w:rPr>
          <w:rFonts w:asciiTheme="majorHAnsi" w:eastAsia="Malgun Gothic" w:hAnsiTheme="majorHAnsi" w:cstheme="majorHAnsi"/>
          <w:spacing w:val="-7"/>
          <w:sz w:val="32"/>
          <w:szCs w:val="32"/>
          <w:lang w:val="en-GB" w:eastAsia="en-GB"/>
        </w:rPr>
        <w:t xml:space="preserve">Study on risks in investing in low-elevation coastal zones </w:t>
      </w:r>
      <w:bookmarkStart w:id="0" w:name="_Hlk147925679"/>
      <w:r w:rsidR="00337399" w:rsidRPr="00722F80">
        <w:rPr>
          <w:rFonts w:asciiTheme="majorHAnsi" w:eastAsia="Malgun Gothic" w:hAnsiTheme="majorHAnsi" w:cstheme="majorHAnsi"/>
          <w:spacing w:val="-7"/>
          <w:sz w:val="32"/>
          <w:szCs w:val="32"/>
          <w:lang w:val="en-GB" w:eastAsia="en-GB"/>
        </w:rPr>
        <w:t>in the frame</w:t>
      </w:r>
      <w:r w:rsidR="00D06DF3" w:rsidRPr="00722F80">
        <w:rPr>
          <w:rFonts w:asciiTheme="majorHAnsi" w:eastAsia="Malgun Gothic" w:hAnsiTheme="majorHAnsi" w:cstheme="majorHAnsi"/>
          <w:spacing w:val="-7"/>
          <w:sz w:val="32"/>
          <w:szCs w:val="32"/>
          <w:lang w:val="en-GB" w:eastAsia="en-GB"/>
        </w:rPr>
        <w:t>work</w:t>
      </w:r>
      <w:r w:rsidR="00337399" w:rsidRPr="00722F80">
        <w:rPr>
          <w:rFonts w:asciiTheme="majorHAnsi" w:eastAsia="Malgun Gothic" w:hAnsiTheme="majorHAnsi" w:cstheme="majorHAnsi"/>
          <w:spacing w:val="-7"/>
          <w:sz w:val="32"/>
          <w:szCs w:val="32"/>
          <w:lang w:val="en-GB" w:eastAsia="en-GB"/>
        </w:rPr>
        <w:t xml:space="preserve"> of the GEF MedProgramme </w:t>
      </w:r>
      <w:r w:rsidR="007A3D50" w:rsidRPr="00722F80">
        <w:rPr>
          <w:rFonts w:asciiTheme="majorHAnsi" w:eastAsia="Malgun Gothic" w:hAnsiTheme="majorHAnsi" w:cstheme="majorHAnsi"/>
          <w:spacing w:val="-7"/>
          <w:sz w:val="32"/>
          <w:szCs w:val="32"/>
          <w:lang w:val="en-GB" w:eastAsia="en-GB"/>
        </w:rPr>
        <w:t>SCCF</w:t>
      </w:r>
      <w:bookmarkEnd w:id="0"/>
      <w:r w:rsidR="00233FE6" w:rsidRPr="00722F80">
        <w:rPr>
          <w:rFonts w:asciiTheme="majorHAnsi" w:eastAsia="Malgun Gothic" w:hAnsiTheme="majorHAnsi" w:cstheme="majorHAnsi"/>
          <w:spacing w:val="-7"/>
          <w:sz w:val="32"/>
          <w:szCs w:val="32"/>
          <w:lang w:val="en-GB" w:eastAsia="en-GB"/>
        </w:rPr>
        <w:t xml:space="preserve"> project</w:t>
      </w:r>
    </w:p>
    <w:p w14:paraId="7DC38488" w14:textId="1DB56B42"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722F80" w:rsidRDefault="009744E9" w:rsidP="009744E9">
      <w:pPr>
        <w:spacing w:after="120"/>
        <w:jc w:val="center"/>
        <w:rPr>
          <w:rFonts w:ascii="Calibri" w:eastAsia="Malgun Gothic" w:hAnsi="Calibri" w:cs="Calibri"/>
          <w:spacing w:val="-7"/>
          <w:sz w:val="28"/>
          <w:szCs w:val="28"/>
          <w:lang w:val="en-GB" w:eastAsia="en-GB"/>
        </w:rPr>
      </w:pPr>
      <w:r w:rsidRPr="00722F80">
        <w:rPr>
          <w:rFonts w:ascii="Calibri" w:eastAsia="Malgun Gothic" w:hAnsi="Calibri" w:cs="Calibri"/>
          <w:spacing w:val="-7"/>
          <w:sz w:val="28"/>
          <w:szCs w:val="28"/>
          <w:lang w:val="en-GB" w:eastAsia="en-GB"/>
        </w:rPr>
        <w:t>SIMPLE PROCUREMENT</w:t>
      </w:r>
    </w:p>
    <w:p w14:paraId="41B58884" w14:textId="4ED51322" w:rsidR="009744E9" w:rsidRPr="00722F80" w:rsidRDefault="009744E9" w:rsidP="009744E9">
      <w:pPr>
        <w:spacing w:after="120"/>
        <w:jc w:val="center"/>
        <w:rPr>
          <w:rFonts w:ascii="Calibri" w:eastAsia="Malgun Gothic" w:hAnsi="Calibri" w:cs="Calibri"/>
          <w:spacing w:val="-7"/>
          <w:sz w:val="28"/>
          <w:szCs w:val="28"/>
          <w:lang w:val="en-GB" w:eastAsia="en-GB"/>
        </w:rPr>
      </w:pPr>
      <w:r w:rsidRPr="00722F80">
        <w:rPr>
          <w:rFonts w:ascii="Calibri" w:eastAsia="Malgun Gothic" w:hAnsi="Calibri" w:cs="Calibri"/>
          <w:spacing w:val="-7"/>
          <w:sz w:val="28"/>
          <w:szCs w:val="28"/>
          <w:lang w:val="en-GB" w:eastAsia="en-GB"/>
        </w:rPr>
        <w:t xml:space="preserve">Reference number </w:t>
      </w:r>
      <w:r w:rsidR="00233FE6" w:rsidRPr="00722F80">
        <w:rPr>
          <w:rFonts w:ascii="Calibri" w:eastAsia="Malgun Gothic" w:hAnsi="Calibri" w:cs="Calibri"/>
          <w:spacing w:val="-7"/>
          <w:sz w:val="28"/>
          <w:szCs w:val="28"/>
          <w:lang w:val="en-GB" w:eastAsia="en-GB"/>
        </w:rPr>
        <w:t>10</w:t>
      </w:r>
      <w:r w:rsidRPr="00722F80">
        <w:rPr>
          <w:rFonts w:ascii="Calibri" w:eastAsia="Malgun Gothic" w:hAnsi="Calibri" w:cs="Calibri"/>
          <w:spacing w:val="-7"/>
          <w:sz w:val="28"/>
          <w:szCs w:val="28"/>
          <w:lang w:val="en-GB" w:eastAsia="en-GB"/>
        </w:rPr>
        <w:t>/GEF/202</w:t>
      </w:r>
      <w:r w:rsidR="00990341" w:rsidRPr="00722F80">
        <w:rPr>
          <w:rFonts w:ascii="Calibri" w:eastAsia="Malgun Gothic" w:hAnsi="Calibri" w:cs="Calibri"/>
          <w:spacing w:val="-7"/>
          <w:sz w:val="28"/>
          <w:szCs w:val="28"/>
          <w:lang w:val="en-GB" w:eastAsia="en-GB"/>
        </w:rPr>
        <w:t>3</w:t>
      </w:r>
    </w:p>
    <w:p w14:paraId="16A40273" w14:textId="77777777" w:rsidR="009744E9" w:rsidRPr="00722F80"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4147DE18" w14:textId="72C67783" w:rsidR="00607F16" w:rsidRPr="00722F80" w:rsidRDefault="00607F16" w:rsidP="00990341">
      <w:pPr>
        <w:spacing w:before="120" w:after="120"/>
        <w:jc w:val="center"/>
        <w:rPr>
          <w:rFonts w:asciiTheme="majorHAnsi" w:eastAsia="Malgun Gothic" w:hAnsiTheme="majorHAnsi" w:cstheme="majorHAnsi"/>
          <w:sz w:val="22"/>
          <w:szCs w:val="20"/>
          <w:lang w:val="en-GB" w:eastAsia="en-GB"/>
        </w:rPr>
      </w:pPr>
      <w:r w:rsidRPr="00722F80">
        <w:rPr>
          <w:rFonts w:asciiTheme="majorHAnsi" w:eastAsia="Malgun Gothic" w:hAnsiTheme="majorHAnsi" w:cstheme="majorHAnsi"/>
          <w:sz w:val="22"/>
          <w:szCs w:val="20"/>
          <w:lang w:val="en-GB" w:eastAsia="en-GB"/>
        </w:rPr>
        <w:t xml:space="preserve">Split, </w:t>
      </w:r>
      <w:r w:rsidR="001F3E3F">
        <w:rPr>
          <w:rFonts w:asciiTheme="majorHAnsi" w:eastAsia="Malgun Gothic" w:hAnsiTheme="majorHAnsi" w:cstheme="majorHAnsi"/>
          <w:sz w:val="22"/>
          <w:szCs w:val="20"/>
          <w:lang w:val="en-GB" w:eastAsia="en-GB"/>
        </w:rPr>
        <w:t>December</w:t>
      </w:r>
      <w:r w:rsidRPr="00722F80">
        <w:rPr>
          <w:rFonts w:asciiTheme="majorHAnsi" w:eastAsia="Malgun Gothic" w:hAnsiTheme="majorHAnsi" w:cstheme="majorHAnsi"/>
          <w:sz w:val="22"/>
          <w:szCs w:val="20"/>
          <w:lang w:val="en-GB" w:eastAsia="en-GB"/>
        </w:rPr>
        <w:t xml:space="preserve"> 202</w:t>
      </w:r>
      <w:r w:rsidR="00990341" w:rsidRPr="00722F80">
        <w:rPr>
          <w:rFonts w:asciiTheme="majorHAnsi" w:eastAsia="Malgun Gothic" w:hAnsiTheme="majorHAnsi" w:cstheme="majorHAnsi"/>
          <w:sz w:val="22"/>
          <w:szCs w:val="20"/>
          <w:lang w:val="en-GB" w:eastAsia="en-GB"/>
        </w:rPr>
        <w:t>3</w:t>
      </w:r>
    </w:p>
    <w:p w14:paraId="488F6CA5" w14:textId="4EB0613C"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722F80" w:rsidRDefault="00607F16" w:rsidP="00607F16">
      <w:pPr>
        <w:spacing w:after="120"/>
        <w:rPr>
          <w:rFonts w:asciiTheme="majorHAnsi" w:eastAsia="Malgun Gothic" w:hAnsiTheme="majorHAnsi" w:cstheme="majorHAnsi"/>
          <w:spacing w:val="-7"/>
          <w:sz w:val="32"/>
          <w:szCs w:val="32"/>
          <w:lang w:val="en-GB" w:eastAsia="en-GB"/>
        </w:rPr>
      </w:pPr>
    </w:p>
    <w:p w14:paraId="3FE1E003" w14:textId="77777777" w:rsidR="0009674E" w:rsidRDefault="0009674E" w:rsidP="002D562D">
      <w:pPr>
        <w:shd w:val="clear" w:color="auto" w:fill="FFFFFF"/>
        <w:spacing w:before="120" w:after="120"/>
        <w:rPr>
          <w:rFonts w:asciiTheme="majorHAnsi" w:hAnsiTheme="majorHAnsi" w:cstheme="majorHAnsi"/>
          <w:b/>
          <w:color w:val="000000"/>
          <w:spacing w:val="-2"/>
          <w:sz w:val="22"/>
          <w:szCs w:val="22"/>
          <w:lang w:val="en-GB"/>
        </w:rPr>
      </w:pPr>
    </w:p>
    <w:p w14:paraId="1B3065A2" w14:textId="5DBD3D34" w:rsidR="00607F16" w:rsidRPr="00722F80" w:rsidRDefault="00607F16" w:rsidP="002D562D">
      <w:pPr>
        <w:shd w:val="clear" w:color="auto" w:fill="FFFFFF"/>
        <w:spacing w:before="120" w:after="120"/>
        <w:rPr>
          <w:rFonts w:asciiTheme="majorHAnsi" w:hAnsiTheme="majorHAnsi" w:cstheme="majorHAnsi"/>
          <w:sz w:val="22"/>
          <w:szCs w:val="22"/>
          <w:lang w:val="en-GB"/>
        </w:rPr>
      </w:pPr>
      <w:r w:rsidRPr="00722F80">
        <w:rPr>
          <w:rFonts w:asciiTheme="majorHAnsi" w:hAnsiTheme="majorHAnsi" w:cstheme="majorHAnsi"/>
          <w:b/>
          <w:color w:val="000000"/>
          <w:spacing w:val="-2"/>
          <w:sz w:val="22"/>
          <w:szCs w:val="22"/>
          <w:lang w:val="en-GB"/>
        </w:rPr>
        <w:t>1. GENERAL INFORMATION</w:t>
      </w:r>
    </w:p>
    <w:p w14:paraId="2AB7C973" w14:textId="77777777" w:rsidR="00607F16" w:rsidRPr="00722F80" w:rsidRDefault="00607F16" w:rsidP="00607F16">
      <w:pPr>
        <w:shd w:val="clear" w:color="auto" w:fill="FFFFFF"/>
        <w:spacing w:before="120" w:after="120"/>
        <w:ind w:left="24"/>
        <w:rPr>
          <w:rFonts w:asciiTheme="majorHAnsi" w:hAnsiTheme="majorHAnsi" w:cstheme="majorHAnsi"/>
          <w:sz w:val="22"/>
          <w:szCs w:val="22"/>
          <w:lang w:val="en-GB"/>
        </w:rPr>
      </w:pPr>
      <w:r w:rsidRPr="00722F80">
        <w:rPr>
          <w:rFonts w:asciiTheme="majorHAnsi" w:hAnsiTheme="majorHAnsi" w:cstheme="majorHAnsi"/>
          <w:b/>
          <w:color w:val="000000"/>
          <w:spacing w:val="-1"/>
          <w:sz w:val="22"/>
          <w:szCs w:val="22"/>
          <w:lang w:val="en-GB"/>
        </w:rPr>
        <w:t>1.1. Client information:</w:t>
      </w:r>
    </w:p>
    <w:p w14:paraId="044769D0" w14:textId="77777777" w:rsidR="008D0F9A" w:rsidRPr="00722F80" w:rsidRDefault="00607F16" w:rsidP="008D0F9A">
      <w:pPr>
        <w:shd w:val="clear" w:color="auto" w:fill="FFFFFF"/>
        <w:spacing w:before="120" w:after="120"/>
        <w:ind w:left="10"/>
        <w:rPr>
          <w:rFonts w:asciiTheme="majorHAnsi" w:hAnsiTheme="majorHAnsi" w:cstheme="majorHAnsi"/>
          <w:bCs/>
          <w:color w:val="000000"/>
          <w:spacing w:val="1"/>
          <w:sz w:val="22"/>
          <w:szCs w:val="22"/>
          <w:lang w:val="en-GB"/>
        </w:rPr>
      </w:pPr>
      <w:r w:rsidRPr="00722F80">
        <w:rPr>
          <w:rFonts w:asciiTheme="majorHAnsi" w:hAnsiTheme="majorHAnsi" w:cstheme="majorHAnsi"/>
          <w:b/>
          <w:color w:val="000000"/>
          <w:spacing w:val="4"/>
          <w:sz w:val="22"/>
          <w:szCs w:val="22"/>
          <w:lang w:val="en-GB"/>
        </w:rPr>
        <w:t>Nam</w:t>
      </w:r>
      <w:r w:rsidRPr="00722F80">
        <w:rPr>
          <w:rFonts w:asciiTheme="majorHAnsi" w:hAnsiTheme="majorHAnsi" w:cstheme="majorHAnsi"/>
          <w:bCs/>
          <w:color w:val="000000"/>
          <w:spacing w:val="1"/>
          <w:sz w:val="22"/>
          <w:szCs w:val="22"/>
          <w:lang w:val="en-GB"/>
        </w:rPr>
        <w:t xml:space="preserve">e: </w:t>
      </w:r>
      <w:r w:rsidR="008D0F9A" w:rsidRPr="00722F80">
        <w:rPr>
          <w:rFonts w:asciiTheme="majorHAnsi" w:hAnsiTheme="majorHAnsi" w:cstheme="majorHAnsi"/>
          <w:bCs/>
          <w:spacing w:val="1"/>
          <w:sz w:val="22"/>
          <w:lang w:val="en-GB"/>
        </w:rPr>
        <w:t xml:space="preserve">Priority Actions Programme Regional Activity Centre </w:t>
      </w:r>
      <w:r w:rsidR="008D0F9A" w:rsidRPr="00722F80">
        <w:rPr>
          <w:rFonts w:asciiTheme="majorHAnsi" w:hAnsiTheme="majorHAnsi" w:cstheme="majorHAnsi"/>
          <w:bCs/>
          <w:spacing w:val="1"/>
          <w:sz w:val="22"/>
          <w:cs/>
          <w:lang w:val="en-GB"/>
        </w:rPr>
        <w:t xml:space="preserve">– </w:t>
      </w:r>
      <w:r w:rsidR="008D0F9A" w:rsidRPr="00722F80">
        <w:rPr>
          <w:rFonts w:asciiTheme="majorHAnsi" w:hAnsiTheme="majorHAnsi" w:cstheme="majorHAnsi"/>
          <w:bCs/>
          <w:spacing w:val="1"/>
          <w:sz w:val="22"/>
          <w:lang w:val="en-GB"/>
        </w:rPr>
        <w:t>PAP/RAC – UNEP/MAP (hereinafter: the Client)</w:t>
      </w:r>
    </w:p>
    <w:p w14:paraId="42B30E14" w14:textId="77777777" w:rsidR="008D0F9A" w:rsidRPr="00722F80" w:rsidRDefault="008D0F9A" w:rsidP="008D0F9A">
      <w:pPr>
        <w:shd w:val="clear" w:color="auto" w:fill="FFFFFF"/>
        <w:spacing w:before="120" w:after="120"/>
        <w:ind w:left="19"/>
        <w:rPr>
          <w:rFonts w:asciiTheme="majorHAnsi" w:hAnsiTheme="majorHAnsi" w:cstheme="majorHAnsi"/>
          <w:bCs/>
          <w:color w:val="000000"/>
          <w:spacing w:val="1"/>
          <w:sz w:val="22"/>
          <w:szCs w:val="22"/>
          <w:lang w:val="en-GB"/>
        </w:rPr>
      </w:pPr>
      <w:r w:rsidRPr="00722F80">
        <w:rPr>
          <w:rFonts w:asciiTheme="majorHAnsi" w:hAnsiTheme="majorHAnsi" w:cstheme="majorHAnsi"/>
          <w:b/>
          <w:spacing w:val="1"/>
          <w:sz w:val="22"/>
          <w:lang w:val="en-GB"/>
        </w:rPr>
        <w:t>Registered office - address</w:t>
      </w:r>
      <w:r w:rsidRPr="00722F80">
        <w:rPr>
          <w:rFonts w:asciiTheme="majorHAnsi" w:hAnsiTheme="majorHAnsi" w:cstheme="majorHAnsi"/>
          <w:bCs/>
          <w:spacing w:val="1"/>
          <w:sz w:val="22"/>
          <w:lang w:val="en-GB"/>
        </w:rPr>
        <w:t>: 21000 Split, Kraj Sv. Ivana 11</w:t>
      </w:r>
    </w:p>
    <w:p w14:paraId="6A2FF3F9" w14:textId="77777777" w:rsidR="008D0F9A" w:rsidRPr="00722F80"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722F80">
        <w:rPr>
          <w:rFonts w:asciiTheme="majorHAnsi" w:hAnsiTheme="majorHAnsi" w:cstheme="majorHAnsi"/>
          <w:b/>
          <w:spacing w:val="1"/>
          <w:sz w:val="22"/>
          <w:lang w:val="en-GB"/>
        </w:rPr>
        <w:t>Telephone number</w:t>
      </w:r>
      <w:r w:rsidRPr="00722F80">
        <w:rPr>
          <w:rFonts w:asciiTheme="majorHAnsi" w:hAnsiTheme="majorHAnsi" w:cstheme="majorHAnsi"/>
          <w:bCs/>
          <w:spacing w:val="1"/>
          <w:sz w:val="22"/>
          <w:lang w:val="en-GB"/>
        </w:rPr>
        <w:t>: +385 (21) 340470</w:t>
      </w:r>
    </w:p>
    <w:p w14:paraId="4CAF8813" w14:textId="613E63B4" w:rsidR="008D0F9A" w:rsidRPr="00722F80"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722F80">
        <w:rPr>
          <w:rFonts w:asciiTheme="majorHAnsi" w:hAnsiTheme="majorHAnsi" w:cstheme="majorHAnsi"/>
          <w:b/>
          <w:spacing w:val="1"/>
          <w:sz w:val="22"/>
          <w:szCs w:val="22"/>
          <w:lang w:val="en-GB"/>
        </w:rPr>
        <w:t>Website</w:t>
      </w:r>
      <w:r w:rsidRPr="00722F80">
        <w:rPr>
          <w:rFonts w:asciiTheme="majorHAnsi" w:hAnsiTheme="majorHAnsi" w:cstheme="majorHAnsi"/>
          <w:bCs/>
          <w:spacing w:val="1"/>
          <w:sz w:val="22"/>
          <w:szCs w:val="22"/>
          <w:lang w:val="en-GB"/>
        </w:rPr>
        <w:t xml:space="preserve">: </w:t>
      </w:r>
      <w:hyperlink r:id="rId8" w:history="1">
        <w:r w:rsidRPr="00722F80">
          <w:rPr>
            <w:rFonts w:asciiTheme="majorHAnsi" w:hAnsiTheme="majorHAnsi" w:cstheme="majorHAnsi"/>
            <w:bCs/>
            <w:color w:val="000000"/>
            <w:spacing w:val="1"/>
            <w:sz w:val="22"/>
            <w:szCs w:val="22"/>
            <w:lang w:val="en-GB"/>
          </w:rPr>
          <w:t>www.paprac.org</w:t>
        </w:r>
      </w:hyperlink>
      <w:r w:rsidRPr="00722F80">
        <w:rPr>
          <w:rFonts w:asciiTheme="majorHAnsi" w:hAnsiTheme="majorHAnsi" w:cstheme="majorHAnsi"/>
          <w:bCs/>
          <w:color w:val="000000"/>
          <w:spacing w:val="1"/>
          <w:sz w:val="22"/>
          <w:szCs w:val="22"/>
          <w:lang w:val="en-GB"/>
        </w:rPr>
        <w:t xml:space="preserve"> </w:t>
      </w:r>
    </w:p>
    <w:p w14:paraId="32A39E55" w14:textId="29EB245C" w:rsidR="008D0F9A" w:rsidRPr="00722F80"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722F80">
        <w:rPr>
          <w:rFonts w:asciiTheme="majorHAnsi" w:hAnsiTheme="majorHAnsi" w:cstheme="majorHAnsi"/>
          <w:b/>
          <w:color w:val="000000"/>
          <w:sz w:val="22"/>
          <w:szCs w:val="22"/>
          <w:lang w:val="en-GB"/>
        </w:rPr>
        <w:t xml:space="preserve">Contact person: </w:t>
      </w:r>
      <w:r w:rsidRPr="00722F80">
        <w:rPr>
          <w:rFonts w:asciiTheme="majorHAnsi" w:hAnsiTheme="majorHAnsi" w:cstheme="majorHAnsi"/>
          <w:color w:val="000000"/>
          <w:sz w:val="22"/>
          <w:szCs w:val="22"/>
          <w:lang w:val="en-GB"/>
        </w:rPr>
        <w:t xml:space="preserve">Questions concerning the tender contents and format can be sent to </w:t>
      </w:r>
      <w:r w:rsidRPr="00722F80">
        <w:rPr>
          <w:rFonts w:asciiTheme="majorHAnsi" w:hAnsiTheme="majorHAnsi" w:cstheme="majorHAnsi"/>
          <w:color w:val="000000"/>
          <w:spacing w:val="4"/>
          <w:sz w:val="22"/>
          <w:szCs w:val="22"/>
          <w:lang w:val="en-GB"/>
        </w:rPr>
        <w:t>the person in charge of communicating with Tenderers, Daria Povh Škugor, e-mail:</w:t>
      </w:r>
      <w:r w:rsidRPr="00722F80">
        <w:rPr>
          <w:rFonts w:asciiTheme="majorHAnsi" w:hAnsiTheme="majorHAnsi" w:cstheme="majorHAnsi"/>
          <w:spacing w:val="4"/>
          <w:sz w:val="22"/>
          <w:szCs w:val="22"/>
          <w:lang w:val="en-GB"/>
        </w:rPr>
        <w:t xml:space="preserve"> daria.povh@paprac.org</w:t>
      </w:r>
    </w:p>
    <w:p w14:paraId="1BC55DE0" w14:textId="01F47FD7" w:rsidR="00607F16" w:rsidRPr="00722F80"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722F80">
        <w:rPr>
          <w:rFonts w:asciiTheme="majorHAnsi" w:hAnsiTheme="majorHAnsi" w:cstheme="majorHAnsi"/>
          <w:b/>
          <w:color w:val="000000"/>
          <w:spacing w:val="3"/>
          <w:sz w:val="22"/>
          <w:szCs w:val="22"/>
          <w:lang w:val="en-GB"/>
        </w:rPr>
        <w:t xml:space="preserve">Procurement type: </w:t>
      </w:r>
      <w:r w:rsidRPr="00722F80">
        <w:rPr>
          <w:rFonts w:asciiTheme="majorHAnsi" w:hAnsiTheme="majorHAnsi" w:cstheme="majorHAnsi"/>
          <w:color w:val="000000"/>
          <w:spacing w:val="3"/>
          <w:sz w:val="22"/>
          <w:szCs w:val="22"/>
          <w:lang w:val="en-GB"/>
        </w:rPr>
        <w:t>Simple procurement</w:t>
      </w:r>
    </w:p>
    <w:p w14:paraId="258959AD" w14:textId="24BE0DE6" w:rsidR="008D0F9A" w:rsidRPr="00722F80" w:rsidRDefault="008D0F9A" w:rsidP="008D0F9A">
      <w:pPr>
        <w:pStyle w:val="ListParagraph"/>
        <w:numPr>
          <w:ilvl w:val="0"/>
          <w:numId w:val="9"/>
        </w:numPr>
        <w:spacing w:before="120" w:after="120"/>
        <w:ind w:left="10"/>
        <w:rPr>
          <w:rFonts w:asciiTheme="majorHAnsi" w:hAnsiTheme="majorHAnsi" w:cstheme="majorHAnsi"/>
          <w:b/>
          <w:bCs/>
          <w:color w:val="000000"/>
          <w:spacing w:val="-8"/>
          <w:sz w:val="22"/>
          <w:szCs w:val="22"/>
          <w:lang w:val="en-GB"/>
        </w:rPr>
      </w:pPr>
      <w:r w:rsidRPr="00722F80">
        <w:rPr>
          <w:rFonts w:asciiTheme="majorHAnsi" w:hAnsiTheme="majorHAnsi" w:cstheme="majorHAnsi"/>
          <w:b/>
          <w:color w:val="000000"/>
          <w:spacing w:val="1"/>
          <w:sz w:val="22"/>
          <w:szCs w:val="22"/>
          <w:lang w:val="en-GB"/>
        </w:rPr>
        <w:t xml:space="preserve">Estimated duration: </w:t>
      </w:r>
      <w:r w:rsidR="00F0622E" w:rsidRPr="00722F80">
        <w:rPr>
          <w:rFonts w:asciiTheme="majorHAnsi" w:hAnsiTheme="majorHAnsi" w:cstheme="majorHAnsi"/>
          <w:bCs/>
          <w:color w:val="000000"/>
          <w:spacing w:val="1"/>
          <w:sz w:val="22"/>
          <w:szCs w:val="22"/>
          <w:lang w:val="en-GB"/>
        </w:rPr>
        <w:t>The expected</w:t>
      </w:r>
      <w:r w:rsidRPr="00722F80">
        <w:rPr>
          <w:rFonts w:asciiTheme="majorHAnsi" w:hAnsiTheme="majorHAnsi" w:cstheme="majorHAnsi"/>
          <w:bCs/>
          <w:color w:val="000000"/>
          <w:spacing w:val="1"/>
          <w:sz w:val="22"/>
          <w:szCs w:val="22"/>
          <w:lang w:val="en-GB"/>
        </w:rPr>
        <w:t xml:space="preserve"> contract duration is </w:t>
      </w:r>
      <w:r w:rsidR="00407B29" w:rsidRPr="00722F80">
        <w:rPr>
          <w:rFonts w:asciiTheme="majorHAnsi" w:hAnsiTheme="majorHAnsi" w:cstheme="majorHAnsi"/>
          <w:bCs/>
          <w:color w:val="000000"/>
          <w:spacing w:val="1"/>
          <w:sz w:val="22"/>
          <w:szCs w:val="22"/>
          <w:lang w:val="en-GB"/>
        </w:rPr>
        <w:t>four</w:t>
      </w:r>
      <w:r w:rsidR="007F1287" w:rsidRPr="00722F80">
        <w:rPr>
          <w:rFonts w:asciiTheme="majorHAnsi" w:hAnsiTheme="majorHAnsi" w:cstheme="majorHAnsi"/>
          <w:bCs/>
          <w:color w:val="000000"/>
          <w:spacing w:val="1"/>
          <w:sz w:val="22"/>
          <w:szCs w:val="22"/>
          <w:lang w:val="en-GB"/>
        </w:rPr>
        <w:t xml:space="preserve"> month</w:t>
      </w:r>
      <w:r w:rsidR="00990341" w:rsidRPr="00722F80">
        <w:rPr>
          <w:rFonts w:asciiTheme="majorHAnsi" w:hAnsiTheme="majorHAnsi" w:cstheme="majorHAnsi"/>
          <w:bCs/>
          <w:color w:val="000000"/>
          <w:spacing w:val="1"/>
          <w:sz w:val="22"/>
          <w:szCs w:val="22"/>
          <w:lang w:val="en-GB"/>
        </w:rPr>
        <w:t>s</w:t>
      </w:r>
      <w:r w:rsidRPr="00722F80">
        <w:rPr>
          <w:rFonts w:asciiTheme="majorHAnsi" w:hAnsiTheme="majorHAnsi" w:cstheme="majorHAnsi"/>
          <w:bCs/>
          <w:color w:val="000000"/>
          <w:spacing w:val="1"/>
          <w:sz w:val="22"/>
          <w:szCs w:val="22"/>
          <w:lang w:val="en-GB"/>
        </w:rPr>
        <w:t>.</w:t>
      </w:r>
    </w:p>
    <w:p w14:paraId="7DAF25C0" w14:textId="2FBAE827" w:rsidR="00607F16" w:rsidRPr="000016E0"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0016E0">
        <w:rPr>
          <w:rFonts w:asciiTheme="majorHAnsi" w:hAnsiTheme="majorHAnsi" w:cstheme="majorHAnsi"/>
          <w:b/>
          <w:color w:val="000000"/>
          <w:spacing w:val="1"/>
          <w:sz w:val="22"/>
          <w:szCs w:val="22"/>
          <w:lang w:val="en-GB"/>
        </w:rPr>
        <w:t xml:space="preserve">Estimated procurement value: </w:t>
      </w:r>
      <w:r w:rsidRPr="000016E0">
        <w:rPr>
          <w:rFonts w:asciiTheme="majorHAnsi" w:hAnsiTheme="majorHAnsi" w:cstheme="majorHAnsi"/>
          <w:color w:val="000000"/>
          <w:spacing w:val="1"/>
          <w:sz w:val="22"/>
          <w:szCs w:val="22"/>
          <w:lang w:val="en-GB"/>
        </w:rPr>
        <w:t xml:space="preserve">Procurement value is estimated at USD </w:t>
      </w:r>
      <w:r w:rsidR="003C1ABB" w:rsidRPr="000016E0">
        <w:rPr>
          <w:rFonts w:asciiTheme="majorHAnsi" w:hAnsiTheme="majorHAnsi" w:cstheme="majorHAnsi"/>
          <w:color w:val="000000"/>
          <w:spacing w:val="1"/>
          <w:sz w:val="22"/>
          <w:szCs w:val="22"/>
          <w:lang w:val="en-GB"/>
        </w:rPr>
        <w:t>1</w:t>
      </w:r>
      <w:r w:rsidR="000016E0" w:rsidRPr="000016E0">
        <w:rPr>
          <w:rFonts w:asciiTheme="majorHAnsi" w:hAnsiTheme="majorHAnsi" w:cstheme="majorHAnsi"/>
          <w:color w:val="000000"/>
          <w:spacing w:val="1"/>
          <w:sz w:val="22"/>
          <w:szCs w:val="22"/>
          <w:lang w:val="en-GB"/>
        </w:rPr>
        <w:t>9</w:t>
      </w:r>
      <w:r w:rsidR="005C2869" w:rsidRPr="000016E0">
        <w:rPr>
          <w:rFonts w:asciiTheme="majorHAnsi" w:hAnsiTheme="majorHAnsi" w:cstheme="majorHAnsi"/>
          <w:color w:val="000000"/>
          <w:spacing w:val="1"/>
          <w:sz w:val="22"/>
          <w:szCs w:val="22"/>
          <w:lang w:val="en-GB"/>
        </w:rPr>
        <w:t>,</w:t>
      </w:r>
      <w:r w:rsidR="001325AE">
        <w:rPr>
          <w:rFonts w:asciiTheme="majorHAnsi" w:hAnsiTheme="majorHAnsi" w:cstheme="majorHAnsi"/>
          <w:color w:val="000000"/>
          <w:spacing w:val="1"/>
          <w:sz w:val="22"/>
          <w:szCs w:val="22"/>
          <w:lang w:val="en-GB"/>
        </w:rPr>
        <w:t>2</w:t>
      </w:r>
      <w:r w:rsidR="005F60ED" w:rsidRPr="000016E0">
        <w:rPr>
          <w:rFonts w:asciiTheme="majorHAnsi" w:hAnsiTheme="majorHAnsi" w:cstheme="majorHAnsi"/>
          <w:color w:val="000000"/>
          <w:spacing w:val="1"/>
          <w:sz w:val="22"/>
          <w:szCs w:val="22"/>
          <w:lang w:val="en-GB"/>
        </w:rPr>
        <w:t>00</w:t>
      </w:r>
      <w:r w:rsidR="002D5752" w:rsidRPr="000016E0">
        <w:rPr>
          <w:rFonts w:asciiTheme="majorHAnsi" w:hAnsiTheme="majorHAnsi" w:cstheme="majorHAnsi"/>
          <w:color w:val="000000"/>
          <w:spacing w:val="1"/>
          <w:sz w:val="22"/>
          <w:szCs w:val="22"/>
          <w:lang w:val="en-GB"/>
        </w:rPr>
        <w:t xml:space="preserve"> </w:t>
      </w:r>
      <w:r w:rsidR="003C1ABB" w:rsidRPr="000016E0">
        <w:rPr>
          <w:rFonts w:asciiTheme="majorHAnsi" w:hAnsiTheme="majorHAnsi" w:cstheme="majorHAnsi"/>
          <w:color w:val="000000"/>
          <w:spacing w:val="1"/>
          <w:sz w:val="22"/>
          <w:szCs w:val="22"/>
          <w:lang w:val="en-GB"/>
        </w:rPr>
        <w:t>without VAT</w:t>
      </w:r>
      <w:r w:rsidRPr="000016E0">
        <w:rPr>
          <w:rFonts w:asciiTheme="majorHAnsi" w:hAnsiTheme="majorHAnsi" w:cstheme="majorHAnsi"/>
          <w:color w:val="000000"/>
          <w:spacing w:val="-3"/>
          <w:sz w:val="22"/>
          <w:szCs w:val="22"/>
          <w:lang w:val="en-GB"/>
        </w:rPr>
        <w:t>.</w:t>
      </w:r>
    </w:p>
    <w:p w14:paraId="1DDA60D6" w14:textId="77777777" w:rsidR="00E6669C" w:rsidRPr="00722F80" w:rsidRDefault="00E6669C" w:rsidP="00607F16">
      <w:pPr>
        <w:shd w:val="clear" w:color="auto" w:fill="FFFFFF"/>
        <w:spacing w:before="120" w:after="120"/>
        <w:ind w:right="2390"/>
        <w:rPr>
          <w:rFonts w:asciiTheme="majorHAnsi" w:hAnsiTheme="majorHAnsi" w:cstheme="majorHAnsi"/>
          <w:b/>
          <w:color w:val="000000"/>
          <w:spacing w:val="-2"/>
          <w:sz w:val="22"/>
          <w:szCs w:val="22"/>
          <w:lang w:val="en-GB"/>
        </w:rPr>
      </w:pPr>
    </w:p>
    <w:p w14:paraId="42E4523C" w14:textId="7D75736F" w:rsidR="00607F16" w:rsidRPr="00722F80"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722F80">
        <w:rPr>
          <w:rFonts w:asciiTheme="majorHAnsi" w:hAnsiTheme="majorHAnsi" w:cstheme="majorHAnsi"/>
          <w:b/>
          <w:color w:val="000000"/>
          <w:spacing w:val="-2"/>
          <w:sz w:val="22"/>
          <w:szCs w:val="22"/>
          <w:lang w:val="en-GB"/>
        </w:rPr>
        <w:t>2. INFORMATION ON THE PROCUREMENT SUBJECT MATTER</w:t>
      </w:r>
    </w:p>
    <w:p w14:paraId="4C33A169" w14:textId="77777777" w:rsidR="00607F16" w:rsidRPr="00722F80"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722F80">
        <w:rPr>
          <w:rFonts w:asciiTheme="majorHAnsi" w:hAnsiTheme="majorHAnsi" w:cstheme="majorHAnsi"/>
          <w:b/>
          <w:color w:val="000000"/>
          <w:spacing w:val="-1"/>
          <w:sz w:val="22"/>
          <w:szCs w:val="22"/>
          <w:lang w:val="en-GB"/>
        </w:rPr>
        <w:t xml:space="preserve">2.1. </w:t>
      </w:r>
      <w:r w:rsidRPr="00722F80">
        <w:rPr>
          <w:rFonts w:asciiTheme="majorHAnsi" w:hAnsiTheme="majorHAnsi" w:cstheme="majorHAnsi"/>
          <w:b/>
          <w:bCs/>
          <w:sz w:val="22"/>
          <w:szCs w:val="22"/>
          <w:lang w:val="en-GB"/>
        </w:rPr>
        <w:t>Introduction</w:t>
      </w:r>
    </w:p>
    <w:p w14:paraId="4F05D785" w14:textId="6C264AEC" w:rsidR="00337399" w:rsidRPr="00722F80" w:rsidRDefault="00337399" w:rsidP="00722F80">
      <w:pPr>
        <w:spacing w:after="120" w:line="276" w:lineRule="auto"/>
        <w:jc w:val="both"/>
        <w:rPr>
          <w:rFonts w:asciiTheme="majorHAnsi" w:hAnsiTheme="majorHAnsi" w:cstheme="majorHAnsi"/>
          <w:sz w:val="22"/>
          <w:szCs w:val="22"/>
          <w:lang w:val="en-GB"/>
        </w:rPr>
      </w:pPr>
      <w:r w:rsidRPr="00722F80">
        <w:rPr>
          <w:rFonts w:asciiTheme="majorHAnsi" w:hAnsiTheme="majorHAnsi" w:cstheme="majorHAnsi"/>
          <w:sz w:val="22"/>
          <w:szCs w:val="22"/>
          <w:lang w:val="en-GB"/>
        </w:rPr>
        <w:t xml:space="preserve">Adopted in January 2008 by the Contracting Parties (CPs) to the Barcelona Convention, the </w:t>
      </w:r>
      <w:r w:rsidRPr="00722F80">
        <w:rPr>
          <w:rFonts w:asciiTheme="majorHAnsi" w:hAnsiTheme="majorHAnsi" w:cstheme="majorHAnsi"/>
          <w:b/>
          <w:bCs/>
          <w:sz w:val="22"/>
          <w:szCs w:val="22"/>
          <w:lang w:val="en-GB"/>
        </w:rPr>
        <w:t>Mediterranean ICZM Protocol</w:t>
      </w:r>
      <w:r w:rsidRPr="00722F80">
        <w:rPr>
          <w:rFonts w:asciiTheme="majorHAnsi" w:hAnsiTheme="majorHAnsi" w:cstheme="majorHAnsi"/>
          <w:sz w:val="22"/>
          <w:szCs w:val="22"/>
          <w:lang w:val="en-GB"/>
        </w:rPr>
        <w:t xml:space="preserve"> is the first supra-state legal instrument aimed specifically at coastal zone management.</w:t>
      </w:r>
      <w:r w:rsidR="0036041F" w:rsidRPr="00722F80">
        <w:rPr>
          <w:rFonts w:asciiTheme="majorHAnsi" w:hAnsiTheme="majorHAnsi" w:cstheme="majorHAnsi"/>
          <w:sz w:val="22"/>
          <w:szCs w:val="22"/>
          <w:lang w:val="en-GB"/>
        </w:rPr>
        <w:t xml:space="preserve"> </w:t>
      </w:r>
      <w:r w:rsidR="00F0622E" w:rsidRPr="00722F80">
        <w:rPr>
          <w:rFonts w:asciiTheme="majorHAnsi" w:hAnsiTheme="majorHAnsi" w:cstheme="majorHAnsi"/>
          <w:sz w:val="22"/>
          <w:szCs w:val="22"/>
          <w:lang w:val="en-GB"/>
        </w:rPr>
        <w:t>The protocol</w:t>
      </w:r>
      <w:r w:rsidR="00D06DF3" w:rsidRPr="00722F80">
        <w:rPr>
          <w:rFonts w:asciiTheme="majorHAnsi" w:hAnsiTheme="majorHAnsi" w:cstheme="majorHAnsi"/>
          <w:sz w:val="22"/>
          <w:szCs w:val="22"/>
          <w:lang w:val="en-GB"/>
        </w:rPr>
        <w:t xml:space="preserve"> requires Mediterranean countries to prepare National ICZM Strategies and Coastal Plans and programmes. </w:t>
      </w:r>
      <w:r w:rsidR="00F0622E" w:rsidRPr="00722F80">
        <w:rPr>
          <w:rFonts w:asciiTheme="majorHAnsi" w:hAnsiTheme="majorHAnsi" w:cstheme="majorHAnsi"/>
          <w:sz w:val="22"/>
          <w:szCs w:val="22"/>
          <w:lang w:val="en-GB"/>
        </w:rPr>
        <w:t>The role</w:t>
      </w:r>
      <w:r w:rsidR="00D06DF3" w:rsidRPr="00722F80">
        <w:rPr>
          <w:rFonts w:asciiTheme="majorHAnsi" w:hAnsiTheme="majorHAnsi" w:cstheme="majorHAnsi"/>
          <w:sz w:val="22"/>
          <w:szCs w:val="22"/>
          <w:lang w:val="en-GB"/>
        </w:rPr>
        <w:t xml:space="preserve"> of the stakeholders in </w:t>
      </w:r>
      <w:r w:rsidR="00F0622E" w:rsidRPr="00722F80">
        <w:rPr>
          <w:rFonts w:asciiTheme="majorHAnsi" w:hAnsiTheme="majorHAnsi" w:cstheme="majorHAnsi"/>
          <w:sz w:val="22"/>
          <w:szCs w:val="22"/>
          <w:lang w:val="en-GB"/>
        </w:rPr>
        <w:t xml:space="preserve">the </w:t>
      </w:r>
      <w:r w:rsidR="00D06DF3" w:rsidRPr="00722F80">
        <w:rPr>
          <w:rFonts w:asciiTheme="majorHAnsi" w:hAnsiTheme="majorHAnsi" w:cstheme="majorHAnsi"/>
          <w:sz w:val="22"/>
          <w:szCs w:val="22"/>
          <w:lang w:val="en-GB"/>
        </w:rPr>
        <w:t xml:space="preserve">preparation of the strategies and plans is considered to be of key importance. </w:t>
      </w:r>
      <w:r w:rsidR="00F0622E" w:rsidRPr="00722F80">
        <w:rPr>
          <w:rFonts w:asciiTheme="majorHAnsi" w:hAnsiTheme="majorHAnsi" w:cstheme="majorHAnsi"/>
          <w:sz w:val="22"/>
          <w:szCs w:val="22"/>
          <w:lang w:val="en-GB"/>
        </w:rPr>
        <w:t>The level</w:t>
      </w:r>
      <w:r w:rsidR="00D06DF3" w:rsidRPr="00722F80">
        <w:rPr>
          <w:rFonts w:asciiTheme="majorHAnsi" w:hAnsiTheme="majorHAnsi" w:cstheme="majorHAnsi"/>
          <w:sz w:val="22"/>
          <w:szCs w:val="22"/>
          <w:lang w:val="en-GB"/>
        </w:rPr>
        <w:t xml:space="preserve"> of stakeholder participation and engagement</w:t>
      </w:r>
      <w:r w:rsidR="009D3C45">
        <w:rPr>
          <w:rFonts w:asciiTheme="majorHAnsi" w:hAnsiTheme="majorHAnsi" w:cstheme="majorHAnsi"/>
          <w:sz w:val="22"/>
          <w:szCs w:val="22"/>
          <w:lang w:val="en-GB"/>
        </w:rPr>
        <w:t xml:space="preserve"> largely determines the document's quality</w:t>
      </w:r>
      <w:r w:rsidR="00F0622E" w:rsidRPr="00722F80">
        <w:rPr>
          <w:rFonts w:asciiTheme="majorHAnsi" w:hAnsiTheme="majorHAnsi" w:cstheme="majorHAnsi"/>
          <w:sz w:val="22"/>
          <w:szCs w:val="22"/>
          <w:lang w:val="en-GB"/>
        </w:rPr>
        <w:t>,</w:t>
      </w:r>
      <w:r w:rsidR="0038229E" w:rsidRPr="00722F80">
        <w:rPr>
          <w:rFonts w:asciiTheme="majorHAnsi" w:hAnsiTheme="majorHAnsi" w:cstheme="majorHAnsi"/>
          <w:sz w:val="22"/>
          <w:szCs w:val="22"/>
          <w:lang w:val="en-GB"/>
        </w:rPr>
        <w:t xml:space="preserve"> but it is even more essential for the success of the </w:t>
      </w:r>
      <w:r w:rsidR="00D06DF3" w:rsidRPr="00722F80">
        <w:rPr>
          <w:rFonts w:asciiTheme="majorHAnsi" w:hAnsiTheme="majorHAnsi" w:cstheme="majorHAnsi"/>
          <w:sz w:val="22"/>
          <w:szCs w:val="22"/>
          <w:lang w:val="en-GB"/>
        </w:rPr>
        <w:t xml:space="preserve">implementation. </w:t>
      </w:r>
      <w:r w:rsidR="00F0622E" w:rsidRPr="00722F80">
        <w:rPr>
          <w:rFonts w:asciiTheme="majorHAnsi" w:hAnsiTheme="majorHAnsi" w:cstheme="majorHAnsi"/>
          <w:sz w:val="22"/>
          <w:szCs w:val="22"/>
          <w:lang w:val="en-GB"/>
        </w:rPr>
        <w:t>The planning</w:t>
      </w:r>
      <w:r w:rsidR="0038229E" w:rsidRPr="00722F80">
        <w:rPr>
          <w:rFonts w:asciiTheme="majorHAnsi" w:hAnsiTheme="majorHAnsi" w:cstheme="majorHAnsi"/>
          <w:sz w:val="22"/>
          <w:szCs w:val="22"/>
          <w:lang w:val="en-GB"/>
        </w:rPr>
        <w:t xml:space="preserve"> stage is considered to be essential for science-policy-community interaction. When these partnerships are established during the planning process, and if partnerships are </w:t>
      </w:r>
      <w:r w:rsidR="00F0622E" w:rsidRPr="00722F80">
        <w:rPr>
          <w:rFonts w:asciiTheme="majorHAnsi" w:hAnsiTheme="majorHAnsi" w:cstheme="majorHAnsi"/>
          <w:sz w:val="22"/>
          <w:szCs w:val="22"/>
          <w:lang w:val="en-GB"/>
        </w:rPr>
        <w:t>formalised</w:t>
      </w:r>
      <w:r w:rsidR="0038229E" w:rsidRPr="00722F80">
        <w:rPr>
          <w:rFonts w:asciiTheme="majorHAnsi" w:hAnsiTheme="majorHAnsi" w:cstheme="majorHAnsi"/>
          <w:sz w:val="22"/>
          <w:szCs w:val="22"/>
          <w:lang w:val="en-GB"/>
        </w:rPr>
        <w:t xml:space="preserve">, there is the chance that </w:t>
      </w:r>
      <w:r w:rsidR="00F0622E" w:rsidRPr="00722F80">
        <w:rPr>
          <w:rFonts w:asciiTheme="majorHAnsi" w:hAnsiTheme="majorHAnsi" w:cstheme="majorHAnsi"/>
          <w:sz w:val="22"/>
          <w:szCs w:val="22"/>
          <w:lang w:val="en-GB"/>
        </w:rPr>
        <w:t>policymakers</w:t>
      </w:r>
      <w:r w:rsidR="0038229E" w:rsidRPr="00722F80">
        <w:rPr>
          <w:rFonts w:asciiTheme="majorHAnsi" w:hAnsiTheme="majorHAnsi" w:cstheme="majorHAnsi"/>
          <w:sz w:val="22"/>
          <w:szCs w:val="22"/>
          <w:lang w:val="en-GB"/>
        </w:rPr>
        <w:t xml:space="preserve"> may count on community and scientists support during inevitable management challenges. Therefore, developing partnerships is one of the essential objectives for all those leading or providing support during the planning process.</w:t>
      </w:r>
    </w:p>
    <w:p w14:paraId="0B80F09C" w14:textId="7F93A210" w:rsidR="00A643AA" w:rsidRPr="0009674E" w:rsidRDefault="00A643AA" w:rsidP="00722F80">
      <w:pPr>
        <w:autoSpaceDE w:val="0"/>
        <w:autoSpaceDN w:val="0"/>
        <w:adjustRightInd w:val="0"/>
        <w:spacing w:line="276" w:lineRule="auto"/>
        <w:rPr>
          <w:rFonts w:asciiTheme="majorHAnsi" w:hAnsiTheme="majorHAnsi" w:cstheme="majorHAnsi"/>
          <w:sz w:val="22"/>
          <w:szCs w:val="22"/>
          <w:lang w:val="en-GB"/>
        </w:rPr>
      </w:pPr>
      <w:r>
        <w:rPr>
          <w:rFonts w:asciiTheme="majorHAnsi" w:hAnsiTheme="majorHAnsi" w:cstheme="majorHAnsi"/>
          <w:sz w:val="22"/>
          <w:szCs w:val="22"/>
          <w:lang w:val="en-GB"/>
        </w:rPr>
        <w:t xml:space="preserve">The </w:t>
      </w:r>
      <w:r w:rsidRPr="0009674E">
        <w:rPr>
          <w:rFonts w:asciiTheme="majorHAnsi" w:hAnsiTheme="majorHAnsi" w:cstheme="majorHAnsi"/>
          <w:sz w:val="22"/>
          <w:szCs w:val="22"/>
          <w:lang w:val="en-GB"/>
        </w:rPr>
        <w:t xml:space="preserve">Mediterranean Sea Programme (MedProgramme): “Enhancing Environmental Security” is a </w:t>
      </w:r>
      <w:r w:rsidR="0009674E">
        <w:rPr>
          <w:rFonts w:asciiTheme="majorHAnsi" w:hAnsiTheme="majorHAnsi" w:cstheme="majorHAnsi"/>
          <w:sz w:val="22"/>
          <w:szCs w:val="22"/>
          <w:lang w:val="en-GB"/>
        </w:rPr>
        <w:t>five-year</w:t>
      </w:r>
      <w:r w:rsidRPr="0009674E">
        <w:rPr>
          <w:rFonts w:asciiTheme="majorHAnsi" w:hAnsiTheme="majorHAnsi" w:cstheme="majorHAnsi"/>
          <w:sz w:val="22"/>
          <w:szCs w:val="22"/>
          <w:lang w:val="en-GB"/>
        </w:rPr>
        <w:t xml:space="preserve"> (2020–2025) Global Environment Facility (GEF) funded multi-focal area initiative </w:t>
      </w:r>
      <w:r w:rsidR="0009674E" w:rsidRPr="0009674E">
        <w:rPr>
          <w:rFonts w:asciiTheme="majorHAnsi" w:hAnsiTheme="majorHAnsi" w:cstheme="majorHAnsi"/>
          <w:sz w:val="22"/>
          <w:szCs w:val="22"/>
          <w:lang w:val="en-GB"/>
        </w:rPr>
        <w:t>active in four GEF focal areas: International Water</w:t>
      </w:r>
      <w:r w:rsidR="0009674E">
        <w:rPr>
          <w:rFonts w:asciiTheme="majorHAnsi" w:hAnsiTheme="majorHAnsi" w:cstheme="majorHAnsi"/>
          <w:sz w:val="22"/>
          <w:szCs w:val="22"/>
          <w:lang w:val="en-GB"/>
        </w:rPr>
        <w:t>s</w:t>
      </w:r>
      <w:r w:rsidR="0009674E" w:rsidRPr="0009674E">
        <w:rPr>
          <w:rFonts w:asciiTheme="majorHAnsi" w:hAnsiTheme="majorHAnsi" w:cstheme="majorHAnsi"/>
          <w:sz w:val="22"/>
          <w:szCs w:val="22"/>
          <w:lang w:val="en-GB"/>
        </w:rPr>
        <w:t>, Chemicals and Waste, Biodiversity, and Climate Change Adaptation (SCCF). UNEP is one of the implementing agencies</w:t>
      </w:r>
      <w:r w:rsidR="0009674E">
        <w:rPr>
          <w:rFonts w:asciiTheme="majorHAnsi" w:hAnsiTheme="majorHAnsi" w:cstheme="majorHAnsi"/>
          <w:sz w:val="22"/>
          <w:szCs w:val="22"/>
          <w:lang w:val="en-GB"/>
        </w:rPr>
        <w:t>,</w:t>
      </w:r>
      <w:r w:rsidR="0009674E" w:rsidRPr="0009674E">
        <w:rPr>
          <w:rFonts w:asciiTheme="majorHAnsi" w:hAnsiTheme="majorHAnsi" w:cstheme="majorHAnsi"/>
          <w:sz w:val="22"/>
          <w:szCs w:val="22"/>
          <w:lang w:val="en-GB"/>
        </w:rPr>
        <w:t xml:space="preserve"> and PAP/RAC </w:t>
      </w:r>
      <w:r w:rsidR="0009674E">
        <w:rPr>
          <w:rFonts w:asciiTheme="majorHAnsi" w:hAnsiTheme="majorHAnsi" w:cstheme="majorHAnsi"/>
          <w:sz w:val="22"/>
          <w:szCs w:val="22"/>
          <w:lang w:val="en-GB"/>
        </w:rPr>
        <w:t xml:space="preserve">is </w:t>
      </w:r>
      <w:r w:rsidR="0009674E" w:rsidRPr="0009674E">
        <w:rPr>
          <w:rFonts w:asciiTheme="majorHAnsi" w:hAnsiTheme="majorHAnsi" w:cstheme="majorHAnsi"/>
          <w:sz w:val="22"/>
          <w:szCs w:val="22"/>
          <w:lang w:val="en-GB"/>
        </w:rPr>
        <w:t xml:space="preserve">one of the executing partners. </w:t>
      </w:r>
    </w:p>
    <w:p w14:paraId="5CA2F0EA" w14:textId="77777777" w:rsidR="0009674E" w:rsidRDefault="0009674E" w:rsidP="00722F80">
      <w:pPr>
        <w:autoSpaceDE w:val="0"/>
        <w:autoSpaceDN w:val="0"/>
        <w:adjustRightInd w:val="0"/>
        <w:spacing w:line="276" w:lineRule="auto"/>
        <w:rPr>
          <w:rFonts w:asciiTheme="majorHAnsi" w:hAnsiTheme="majorHAnsi" w:cstheme="majorHAnsi"/>
          <w:sz w:val="22"/>
          <w:szCs w:val="22"/>
          <w:lang w:val="en-GB"/>
        </w:rPr>
      </w:pPr>
    </w:p>
    <w:p w14:paraId="60B80F38" w14:textId="507304C3" w:rsidR="00582F75" w:rsidRPr="00722F80" w:rsidRDefault="00337399" w:rsidP="00722F80">
      <w:pPr>
        <w:autoSpaceDE w:val="0"/>
        <w:autoSpaceDN w:val="0"/>
        <w:adjustRightInd w:val="0"/>
        <w:spacing w:line="276" w:lineRule="auto"/>
        <w:rPr>
          <w:rFonts w:asciiTheme="majorHAnsi" w:hAnsiTheme="majorHAnsi" w:cstheme="majorHAnsi"/>
          <w:sz w:val="22"/>
          <w:szCs w:val="22"/>
          <w:lang w:val="en-GB"/>
        </w:rPr>
      </w:pPr>
      <w:r w:rsidRPr="00722F80">
        <w:rPr>
          <w:rFonts w:asciiTheme="majorHAnsi" w:hAnsiTheme="majorHAnsi" w:cstheme="majorHAnsi"/>
          <w:sz w:val="22"/>
          <w:szCs w:val="22"/>
          <w:lang w:val="en-GB"/>
        </w:rPr>
        <w:t xml:space="preserve">GEF MedProgramme </w:t>
      </w:r>
      <w:r w:rsidR="00722F80" w:rsidRPr="00722F80">
        <w:rPr>
          <w:rFonts w:asciiTheme="majorHAnsi" w:hAnsiTheme="majorHAnsi" w:cstheme="majorHAnsi"/>
          <w:sz w:val="22"/>
          <w:szCs w:val="22"/>
          <w:lang w:val="en-GB"/>
        </w:rPr>
        <w:t xml:space="preserve">SCCF project aims to enhance </w:t>
      </w:r>
      <w:r w:rsidR="00722F80">
        <w:rPr>
          <w:rFonts w:asciiTheme="majorHAnsi" w:hAnsiTheme="majorHAnsi" w:cstheme="majorHAnsi"/>
          <w:sz w:val="22"/>
          <w:szCs w:val="22"/>
          <w:lang w:val="en-GB"/>
        </w:rPr>
        <w:t xml:space="preserve">the </w:t>
      </w:r>
      <w:r w:rsidR="00722F80" w:rsidRPr="00722F80">
        <w:rPr>
          <w:rFonts w:asciiTheme="majorHAnsi" w:hAnsiTheme="majorHAnsi" w:cstheme="majorHAnsi"/>
          <w:sz w:val="22"/>
          <w:szCs w:val="22"/>
          <w:lang w:val="en-GB"/>
        </w:rPr>
        <w:t>capacities of countries in the Mediterranean region to adapt to climate change with a view to influencing wider development processes in the region.</w:t>
      </w:r>
      <w:r w:rsidRPr="00722F80">
        <w:rPr>
          <w:rFonts w:asciiTheme="majorHAnsi" w:hAnsiTheme="majorHAnsi" w:cstheme="majorHAnsi"/>
          <w:sz w:val="22"/>
          <w:szCs w:val="22"/>
          <w:lang w:val="en-GB"/>
        </w:rPr>
        <w:t xml:space="preserve"> </w:t>
      </w:r>
      <w:r w:rsidR="003C1ABB" w:rsidRPr="003C1ABB">
        <w:rPr>
          <w:rFonts w:asciiTheme="majorHAnsi" w:hAnsiTheme="majorHAnsi" w:cstheme="majorHAnsi"/>
          <w:sz w:val="22"/>
          <w:szCs w:val="22"/>
          <w:lang w:val="en-GB"/>
        </w:rPr>
        <w:t>The beneficiary countries of the SCCF project are Albania, Algeria, Libya, Montenegro, Morocco and Tunisia.</w:t>
      </w:r>
      <w:r w:rsidR="003C1ABB">
        <w:rPr>
          <w:rFonts w:asciiTheme="majorHAnsi" w:hAnsiTheme="majorHAnsi" w:cstheme="majorHAnsi"/>
          <w:sz w:val="22"/>
          <w:szCs w:val="22"/>
          <w:lang w:val="en-GB"/>
        </w:rPr>
        <w:t xml:space="preserve"> </w:t>
      </w:r>
      <w:r w:rsidR="00054941" w:rsidRPr="00722F80">
        <w:rPr>
          <w:rFonts w:asciiTheme="majorHAnsi" w:hAnsiTheme="majorHAnsi" w:cstheme="majorHAnsi"/>
          <w:sz w:val="22"/>
          <w:szCs w:val="22"/>
          <w:lang w:val="en-GB"/>
        </w:rPr>
        <w:t>This</w:t>
      </w:r>
      <w:r w:rsidR="00E6665A" w:rsidRPr="00722F80">
        <w:rPr>
          <w:rFonts w:asciiTheme="majorHAnsi" w:hAnsiTheme="majorHAnsi" w:cstheme="majorHAnsi"/>
          <w:sz w:val="22"/>
          <w:szCs w:val="22"/>
          <w:lang w:val="en-GB"/>
        </w:rPr>
        <w:t xml:space="preserve"> </w:t>
      </w:r>
      <w:r w:rsidR="00A643AA">
        <w:rPr>
          <w:rFonts w:asciiTheme="majorHAnsi" w:hAnsiTheme="majorHAnsi" w:cstheme="majorHAnsi"/>
          <w:sz w:val="22"/>
          <w:szCs w:val="22"/>
          <w:lang w:val="en-GB"/>
        </w:rPr>
        <w:t xml:space="preserve">activity is targeted towards investors in the developments in the low-elevation coastal zones and in coastal setback zones, with the aim to raise awareness on the risks of the rising sea level and extreme weather events. This </w:t>
      </w:r>
      <w:r w:rsidR="00E6665A" w:rsidRPr="00722F80">
        <w:rPr>
          <w:rFonts w:asciiTheme="majorHAnsi" w:hAnsiTheme="majorHAnsi" w:cstheme="majorHAnsi"/>
          <w:sz w:val="22"/>
          <w:szCs w:val="22"/>
          <w:lang w:val="en-GB"/>
        </w:rPr>
        <w:t>action is a part of the GEF</w:t>
      </w:r>
      <w:r w:rsidR="00E32FC7" w:rsidRPr="00722F80">
        <w:rPr>
          <w:rFonts w:asciiTheme="majorHAnsi" w:hAnsiTheme="majorHAnsi" w:cstheme="majorHAnsi"/>
          <w:sz w:val="22"/>
          <w:szCs w:val="22"/>
          <w:lang w:val="en-GB"/>
        </w:rPr>
        <w:t xml:space="preserve"> MedProgramme, </w:t>
      </w:r>
      <w:r w:rsidR="00722F80">
        <w:rPr>
          <w:rFonts w:asciiTheme="majorHAnsi" w:hAnsiTheme="majorHAnsi" w:cstheme="majorHAnsi"/>
          <w:sz w:val="22"/>
          <w:szCs w:val="22"/>
          <w:lang w:val="en-GB"/>
        </w:rPr>
        <w:t>SCCF</w:t>
      </w:r>
      <w:r w:rsidR="00E32FC7" w:rsidRPr="00722F80">
        <w:rPr>
          <w:rFonts w:asciiTheme="majorHAnsi" w:hAnsiTheme="majorHAnsi" w:cstheme="majorHAnsi"/>
          <w:sz w:val="22"/>
          <w:szCs w:val="22"/>
          <w:lang w:val="en-GB"/>
        </w:rPr>
        <w:t>;</w:t>
      </w:r>
      <w:r w:rsidR="00E6665A" w:rsidRPr="00722F80">
        <w:rPr>
          <w:rFonts w:asciiTheme="majorHAnsi" w:hAnsiTheme="majorHAnsi" w:cstheme="majorHAnsi"/>
          <w:sz w:val="22"/>
          <w:szCs w:val="22"/>
          <w:lang w:val="en-GB"/>
        </w:rPr>
        <w:t xml:space="preserve"> </w:t>
      </w:r>
      <w:r w:rsidR="00E32FC7" w:rsidRPr="00722F80">
        <w:rPr>
          <w:rFonts w:asciiTheme="majorHAnsi" w:hAnsiTheme="majorHAnsi" w:cstheme="majorHAnsi"/>
          <w:sz w:val="22"/>
          <w:szCs w:val="22"/>
          <w:lang w:val="en-GB"/>
        </w:rPr>
        <w:t>Output</w:t>
      </w:r>
      <w:r w:rsidR="00E6669C" w:rsidRPr="00722F80">
        <w:rPr>
          <w:rFonts w:asciiTheme="majorHAnsi" w:hAnsiTheme="majorHAnsi" w:cstheme="majorHAnsi"/>
          <w:sz w:val="22"/>
          <w:szCs w:val="22"/>
          <w:lang w:val="en-GB"/>
        </w:rPr>
        <w:t xml:space="preserve"> 1.</w:t>
      </w:r>
      <w:r w:rsidR="00722F80">
        <w:rPr>
          <w:rFonts w:asciiTheme="majorHAnsi" w:hAnsiTheme="majorHAnsi" w:cstheme="majorHAnsi"/>
          <w:sz w:val="22"/>
          <w:szCs w:val="22"/>
          <w:lang w:val="en-GB"/>
        </w:rPr>
        <w:t>4</w:t>
      </w:r>
      <w:r w:rsidR="00E6669C" w:rsidRPr="00722F80">
        <w:rPr>
          <w:rFonts w:asciiTheme="majorHAnsi" w:hAnsiTheme="majorHAnsi" w:cstheme="majorHAnsi"/>
          <w:sz w:val="22"/>
          <w:szCs w:val="22"/>
          <w:lang w:val="en-GB"/>
        </w:rPr>
        <w:t>.</w:t>
      </w:r>
      <w:r w:rsidR="00722F80">
        <w:rPr>
          <w:rFonts w:asciiTheme="majorHAnsi" w:hAnsiTheme="majorHAnsi" w:cstheme="majorHAnsi"/>
          <w:sz w:val="22"/>
          <w:szCs w:val="22"/>
          <w:lang w:val="en-GB"/>
        </w:rPr>
        <w:t>7.</w:t>
      </w:r>
      <w:r w:rsidR="00E6669C" w:rsidRPr="00722F80">
        <w:rPr>
          <w:rFonts w:asciiTheme="majorHAnsi" w:hAnsiTheme="majorHAnsi" w:cstheme="majorHAnsi"/>
          <w:sz w:val="22"/>
          <w:szCs w:val="22"/>
          <w:lang w:val="en-GB"/>
        </w:rPr>
        <w:t xml:space="preserve"> </w:t>
      </w:r>
      <w:r w:rsidR="00A643AA">
        <w:rPr>
          <w:rFonts w:asciiTheme="majorHAnsi" w:hAnsiTheme="majorHAnsi" w:cstheme="majorHAnsi"/>
          <w:sz w:val="22"/>
          <w:szCs w:val="22"/>
          <w:lang w:val="en-GB"/>
        </w:rPr>
        <w:t xml:space="preserve">Coastal setback and the financing sector. </w:t>
      </w:r>
    </w:p>
    <w:p w14:paraId="6B43622B" w14:textId="77777777" w:rsidR="00A643AA" w:rsidRDefault="00A643AA" w:rsidP="00A643AA">
      <w:pPr>
        <w:autoSpaceDE w:val="0"/>
        <w:autoSpaceDN w:val="0"/>
        <w:adjustRightInd w:val="0"/>
        <w:spacing w:line="276" w:lineRule="auto"/>
        <w:jc w:val="both"/>
        <w:rPr>
          <w:rFonts w:asciiTheme="majorHAnsi" w:hAnsiTheme="majorHAnsi" w:cstheme="majorHAnsi"/>
          <w:sz w:val="22"/>
          <w:szCs w:val="22"/>
          <w:lang w:val="en-GB"/>
        </w:rPr>
      </w:pPr>
    </w:p>
    <w:p w14:paraId="31B2C648" w14:textId="3EF6B931" w:rsidR="005525D7" w:rsidRPr="00722F80" w:rsidRDefault="00E6669C" w:rsidP="00A643AA">
      <w:pPr>
        <w:autoSpaceDE w:val="0"/>
        <w:autoSpaceDN w:val="0"/>
        <w:adjustRightInd w:val="0"/>
        <w:spacing w:line="276" w:lineRule="auto"/>
        <w:jc w:val="both"/>
        <w:rPr>
          <w:rFonts w:ascii="Calibri" w:hAnsi="Calibri" w:cs="Calibri"/>
          <w:sz w:val="22"/>
          <w:szCs w:val="22"/>
          <w:lang w:val="en-GB"/>
        </w:rPr>
      </w:pPr>
      <w:r w:rsidRPr="00722F80">
        <w:rPr>
          <w:rFonts w:asciiTheme="majorHAnsi" w:hAnsiTheme="majorHAnsi" w:cstheme="majorHAnsi"/>
          <w:sz w:val="22"/>
          <w:szCs w:val="22"/>
          <w:lang w:val="en-GB"/>
        </w:rPr>
        <w:t xml:space="preserve">This procurement is fully funded by the UNEP budget, GEF MedProgramme </w:t>
      </w:r>
      <w:r w:rsidR="00A643AA">
        <w:rPr>
          <w:rFonts w:asciiTheme="majorHAnsi" w:hAnsiTheme="majorHAnsi" w:cstheme="majorHAnsi"/>
          <w:sz w:val="22"/>
          <w:szCs w:val="22"/>
          <w:lang w:val="en-GB"/>
        </w:rPr>
        <w:t>SCCF</w:t>
      </w:r>
      <w:r w:rsidRPr="00722F80">
        <w:rPr>
          <w:rFonts w:asciiTheme="majorHAnsi" w:hAnsiTheme="majorHAnsi" w:cstheme="majorHAnsi"/>
          <w:sz w:val="22"/>
          <w:szCs w:val="22"/>
          <w:lang w:val="en-GB"/>
        </w:rPr>
        <w:t xml:space="preserve">, </w:t>
      </w:r>
      <w:r w:rsidR="00F0622E" w:rsidRPr="00722F80">
        <w:rPr>
          <w:rFonts w:asciiTheme="majorHAnsi" w:hAnsiTheme="majorHAnsi" w:cstheme="majorHAnsi"/>
          <w:sz w:val="22"/>
          <w:szCs w:val="22"/>
          <w:lang w:val="en-GB"/>
        </w:rPr>
        <w:t>based on</w:t>
      </w:r>
      <w:r w:rsidRPr="00722F80">
        <w:rPr>
          <w:rFonts w:asciiTheme="majorHAnsi" w:hAnsiTheme="majorHAnsi" w:cstheme="majorHAnsi"/>
          <w:sz w:val="22"/>
          <w:szCs w:val="22"/>
          <w:lang w:val="en-GB"/>
        </w:rPr>
        <w:t xml:space="preserve"> Project Cooperation Agreement PCA/20</w:t>
      </w:r>
      <w:r w:rsidR="00A643AA">
        <w:rPr>
          <w:rFonts w:asciiTheme="majorHAnsi" w:hAnsiTheme="majorHAnsi" w:cstheme="majorHAnsi"/>
          <w:sz w:val="22"/>
          <w:szCs w:val="22"/>
          <w:lang w:val="en-GB"/>
        </w:rPr>
        <w:t>21</w:t>
      </w:r>
      <w:r w:rsidRPr="00722F80">
        <w:rPr>
          <w:rFonts w:asciiTheme="majorHAnsi" w:hAnsiTheme="majorHAnsi" w:cstheme="majorHAnsi"/>
          <w:sz w:val="22"/>
          <w:szCs w:val="22"/>
          <w:lang w:val="en-GB"/>
        </w:rPr>
        <w:t>/</w:t>
      </w:r>
      <w:r w:rsidR="00A643AA">
        <w:rPr>
          <w:rFonts w:asciiTheme="majorHAnsi" w:hAnsiTheme="majorHAnsi" w:cstheme="majorHAnsi"/>
          <w:sz w:val="22"/>
          <w:szCs w:val="22"/>
          <w:lang w:val="en-GB"/>
        </w:rPr>
        <w:t xml:space="preserve">Ecosystems Division/4272 </w:t>
      </w:r>
      <w:r w:rsidRPr="00722F80">
        <w:rPr>
          <w:rFonts w:asciiTheme="majorHAnsi" w:hAnsiTheme="majorHAnsi" w:cstheme="majorHAnsi"/>
          <w:sz w:val="22"/>
          <w:szCs w:val="22"/>
          <w:lang w:val="en-GB"/>
        </w:rPr>
        <w:t xml:space="preserve">between UNEP and PAP/RAC. This procurement is carried out in accordance with Article 29 of the Public procurement law. </w:t>
      </w:r>
      <w:bookmarkStart w:id="1" w:name="_Hlk77248963"/>
    </w:p>
    <w:bookmarkEnd w:id="1"/>
    <w:p w14:paraId="19C99D26" w14:textId="77777777" w:rsidR="00E32FC7" w:rsidRPr="00722F80" w:rsidRDefault="00E32FC7" w:rsidP="00337399">
      <w:pPr>
        <w:shd w:val="clear" w:color="auto" w:fill="FFFFFF"/>
        <w:tabs>
          <w:tab w:val="left" w:pos="4198"/>
        </w:tabs>
        <w:spacing w:before="120" w:after="120"/>
        <w:ind w:right="2390"/>
        <w:rPr>
          <w:rFonts w:asciiTheme="majorHAnsi" w:hAnsiTheme="majorHAnsi" w:cstheme="majorHAnsi"/>
          <w:b/>
          <w:color w:val="000000"/>
          <w:spacing w:val="-1"/>
          <w:sz w:val="22"/>
          <w:szCs w:val="22"/>
          <w:lang w:val="en-GB"/>
        </w:rPr>
      </w:pPr>
    </w:p>
    <w:p w14:paraId="5572C876" w14:textId="787E211F" w:rsidR="00337399" w:rsidRPr="00722F80" w:rsidRDefault="00337399" w:rsidP="00337399">
      <w:pPr>
        <w:shd w:val="clear" w:color="auto" w:fill="FFFFFF"/>
        <w:tabs>
          <w:tab w:val="left" w:pos="4198"/>
        </w:tabs>
        <w:spacing w:before="120" w:after="120"/>
        <w:ind w:right="2390"/>
        <w:rPr>
          <w:rFonts w:asciiTheme="majorHAnsi" w:hAnsiTheme="majorHAnsi" w:cstheme="majorHAnsi"/>
          <w:sz w:val="22"/>
          <w:szCs w:val="22"/>
          <w:lang w:val="en-GB"/>
        </w:rPr>
      </w:pPr>
      <w:r w:rsidRPr="00722F80">
        <w:rPr>
          <w:rFonts w:asciiTheme="majorHAnsi" w:hAnsiTheme="majorHAnsi" w:cstheme="majorHAnsi"/>
          <w:b/>
          <w:color w:val="000000"/>
          <w:spacing w:val="-1"/>
          <w:sz w:val="22"/>
          <w:szCs w:val="22"/>
          <w:lang w:val="en-GB"/>
        </w:rPr>
        <w:t>2.2. Description of the procurement subject matter</w:t>
      </w:r>
    </w:p>
    <w:p w14:paraId="5BFD5B92" w14:textId="4F05C55F" w:rsidR="009657CB" w:rsidRPr="00722F80" w:rsidRDefault="00687C16" w:rsidP="009657CB">
      <w:pPr>
        <w:spacing w:after="120"/>
        <w:jc w:val="both"/>
        <w:rPr>
          <w:rFonts w:asciiTheme="majorHAnsi" w:hAnsiTheme="majorHAnsi" w:cstheme="majorHAnsi"/>
          <w:sz w:val="22"/>
          <w:szCs w:val="22"/>
          <w:lang w:val="en-GB"/>
        </w:rPr>
      </w:pPr>
      <w:r w:rsidRPr="00722F80">
        <w:rPr>
          <w:rFonts w:asciiTheme="majorHAnsi" w:hAnsiTheme="majorHAnsi" w:cstheme="majorHAnsi"/>
          <w:sz w:val="22"/>
          <w:szCs w:val="22"/>
          <w:lang w:val="en-GB"/>
        </w:rPr>
        <w:t xml:space="preserve">The task will consist of the </w:t>
      </w:r>
      <w:r w:rsidR="00965029" w:rsidRPr="00722F80">
        <w:rPr>
          <w:rFonts w:asciiTheme="majorHAnsi" w:hAnsiTheme="majorHAnsi" w:cstheme="majorHAnsi"/>
          <w:sz w:val="22"/>
          <w:szCs w:val="22"/>
          <w:lang w:val="en-GB"/>
        </w:rPr>
        <w:t>following</w:t>
      </w:r>
      <w:r w:rsidRPr="00722F80">
        <w:rPr>
          <w:rFonts w:asciiTheme="majorHAnsi" w:hAnsiTheme="majorHAnsi" w:cstheme="majorHAnsi"/>
          <w:sz w:val="22"/>
          <w:szCs w:val="22"/>
          <w:lang w:val="en-GB"/>
        </w:rPr>
        <w:t>:</w:t>
      </w:r>
    </w:p>
    <w:p w14:paraId="69D4A790" w14:textId="4B2B385C" w:rsidR="007A1A15" w:rsidRPr="007A1A15" w:rsidRDefault="007A1A15" w:rsidP="00763606">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Develop a study on risks for banks and other investors in funding developments in the low-elevation coastal zones</w:t>
      </w:r>
      <w:r w:rsidR="0060164B">
        <w:rPr>
          <w:rFonts w:asciiTheme="majorHAnsi" w:hAnsiTheme="majorHAnsi" w:cstheme="majorHAnsi"/>
          <w:sz w:val="22"/>
          <w:szCs w:val="22"/>
          <w:lang w:val="en-GB"/>
        </w:rPr>
        <w:t xml:space="preserve"> (LECZ)</w:t>
      </w:r>
      <w:r>
        <w:rPr>
          <w:rFonts w:asciiTheme="majorHAnsi" w:hAnsiTheme="majorHAnsi" w:cstheme="majorHAnsi"/>
          <w:sz w:val="22"/>
          <w:szCs w:val="22"/>
          <w:lang w:val="en-GB"/>
        </w:rPr>
        <w:t>.</w:t>
      </w:r>
    </w:p>
    <w:p w14:paraId="443ABD8E" w14:textId="541DECF3" w:rsidR="00E32FC7" w:rsidRPr="00722F80" w:rsidRDefault="007A1A15" w:rsidP="00763606">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Prepare two policy briefs for two target groups (risk managers in banks</w:t>
      </w:r>
      <w:r w:rsidR="00AC2DD5">
        <w:rPr>
          <w:rFonts w:asciiTheme="majorHAnsi" w:hAnsiTheme="majorHAnsi" w:cstheme="majorHAnsi"/>
          <w:sz w:val="22"/>
          <w:szCs w:val="22"/>
          <w:lang w:val="en-GB"/>
        </w:rPr>
        <w:t>;</w:t>
      </w:r>
      <w:r>
        <w:rPr>
          <w:rFonts w:asciiTheme="majorHAnsi" w:hAnsiTheme="majorHAnsi" w:cstheme="majorHAnsi"/>
          <w:sz w:val="22"/>
          <w:szCs w:val="22"/>
          <w:lang w:val="en-GB"/>
        </w:rPr>
        <w:t xml:space="preserve"> and private investors in real </w:t>
      </w:r>
      <w:r w:rsidR="0060164B">
        <w:rPr>
          <w:rFonts w:asciiTheme="majorHAnsi" w:hAnsiTheme="majorHAnsi" w:cstheme="majorHAnsi"/>
          <w:sz w:val="22"/>
          <w:szCs w:val="22"/>
          <w:lang w:val="en-GB"/>
        </w:rPr>
        <w:t>estate</w:t>
      </w:r>
      <w:r>
        <w:rPr>
          <w:rFonts w:asciiTheme="majorHAnsi" w:hAnsiTheme="majorHAnsi" w:cstheme="majorHAnsi"/>
          <w:sz w:val="22"/>
          <w:szCs w:val="22"/>
          <w:lang w:val="en-GB"/>
        </w:rPr>
        <w:t>)</w:t>
      </w:r>
      <w:r w:rsidR="00E32FC7" w:rsidRPr="00722F80">
        <w:rPr>
          <w:rFonts w:asciiTheme="majorHAnsi" w:hAnsiTheme="majorHAnsi" w:cstheme="majorHAnsi"/>
          <w:sz w:val="22"/>
          <w:szCs w:val="22"/>
          <w:lang w:val="en-GB"/>
        </w:rPr>
        <w:t xml:space="preserve">. </w:t>
      </w:r>
    </w:p>
    <w:p w14:paraId="371DD72D" w14:textId="227E081B" w:rsidR="007947DB" w:rsidRPr="00722F80" w:rsidRDefault="007947DB" w:rsidP="007947DB">
      <w:pPr>
        <w:pStyle w:val="ListParagraph"/>
        <w:numPr>
          <w:ilvl w:val="0"/>
          <w:numId w:val="26"/>
        </w:numPr>
        <w:jc w:val="both"/>
        <w:rPr>
          <w:rFonts w:asciiTheme="majorHAnsi" w:eastAsia="Malgun Gothic" w:hAnsiTheme="majorHAnsi" w:cstheme="majorHAnsi"/>
          <w:sz w:val="22"/>
          <w:szCs w:val="22"/>
          <w:lang w:val="en-GB"/>
        </w:rPr>
      </w:pPr>
      <w:r w:rsidRPr="00722F80">
        <w:rPr>
          <w:rFonts w:asciiTheme="majorHAnsi" w:hAnsiTheme="majorHAnsi" w:cstheme="majorHAnsi"/>
          <w:sz w:val="22"/>
          <w:szCs w:val="22"/>
          <w:lang w:val="en-GB"/>
        </w:rPr>
        <w:t xml:space="preserve">Participate </w:t>
      </w:r>
      <w:r w:rsidR="00F50BBB" w:rsidRPr="00722F80">
        <w:rPr>
          <w:rFonts w:asciiTheme="majorHAnsi" w:hAnsiTheme="majorHAnsi" w:cstheme="majorHAnsi"/>
          <w:sz w:val="22"/>
          <w:szCs w:val="22"/>
          <w:lang w:val="en-GB"/>
        </w:rPr>
        <w:t>in</w:t>
      </w:r>
      <w:r w:rsidRPr="00722F80">
        <w:rPr>
          <w:rFonts w:asciiTheme="majorHAnsi" w:hAnsiTheme="majorHAnsi" w:cstheme="majorHAnsi"/>
          <w:sz w:val="22"/>
          <w:szCs w:val="22"/>
          <w:lang w:val="en-GB"/>
        </w:rPr>
        <w:t xml:space="preserve"> </w:t>
      </w:r>
      <w:r w:rsidR="005F60ED" w:rsidRPr="00722F80">
        <w:rPr>
          <w:rFonts w:asciiTheme="majorHAnsi" w:hAnsiTheme="majorHAnsi" w:cstheme="majorHAnsi"/>
          <w:sz w:val="22"/>
          <w:szCs w:val="22"/>
          <w:lang w:val="en-GB"/>
        </w:rPr>
        <w:t xml:space="preserve">at least </w:t>
      </w:r>
      <w:r w:rsidRPr="00722F80">
        <w:rPr>
          <w:rFonts w:asciiTheme="majorHAnsi" w:hAnsiTheme="majorHAnsi" w:cstheme="majorHAnsi"/>
          <w:sz w:val="22"/>
          <w:szCs w:val="22"/>
          <w:lang w:val="en-GB"/>
        </w:rPr>
        <w:t xml:space="preserve">one </w:t>
      </w:r>
      <w:r w:rsidR="007A1A15">
        <w:rPr>
          <w:rFonts w:asciiTheme="majorHAnsi" w:hAnsiTheme="majorHAnsi" w:cstheme="majorHAnsi"/>
          <w:sz w:val="22"/>
          <w:szCs w:val="22"/>
          <w:lang w:val="en-GB"/>
        </w:rPr>
        <w:t>training workshop</w:t>
      </w:r>
      <w:r w:rsidRPr="00722F80">
        <w:rPr>
          <w:rFonts w:asciiTheme="majorHAnsi" w:hAnsiTheme="majorHAnsi" w:cstheme="majorHAnsi"/>
          <w:sz w:val="22"/>
          <w:szCs w:val="22"/>
          <w:lang w:val="en-GB"/>
        </w:rPr>
        <w:t xml:space="preserve"> to </w:t>
      </w:r>
      <w:r w:rsidR="007A1A15">
        <w:rPr>
          <w:rFonts w:asciiTheme="majorHAnsi" w:hAnsiTheme="majorHAnsi" w:cstheme="majorHAnsi"/>
          <w:sz w:val="22"/>
          <w:szCs w:val="22"/>
          <w:lang w:val="en-GB"/>
        </w:rPr>
        <w:t>present the study</w:t>
      </w:r>
      <w:r w:rsidRPr="00722F80">
        <w:rPr>
          <w:rFonts w:asciiTheme="majorHAnsi" w:hAnsiTheme="majorHAnsi" w:cstheme="majorHAnsi"/>
          <w:sz w:val="22"/>
          <w:szCs w:val="22"/>
          <w:lang w:val="en-GB"/>
        </w:rPr>
        <w:t xml:space="preserve">. </w:t>
      </w:r>
    </w:p>
    <w:p w14:paraId="68DBD080" w14:textId="5E11FD54" w:rsidR="00E32FC7" w:rsidRPr="00722F80" w:rsidRDefault="00E32FC7" w:rsidP="00E32FC7">
      <w:pPr>
        <w:jc w:val="both"/>
        <w:rPr>
          <w:rFonts w:asciiTheme="majorHAnsi" w:eastAsia="Malgun Gothic" w:hAnsiTheme="majorHAnsi" w:cstheme="majorHAnsi"/>
          <w:sz w:val="22"/>
          <w:szCs w:val="22"/>
          <w:lang w:val="en-GB"/>
        </w:rPr>
      </w:pPr>
    </w:p>
    <w:p w14:paraId="7EB160BB" w14:textId="6142A152" w:rsidR="008C4916" w:rsidRDefault="008C4916" w:rsidP="008C4916">
      <w:pPr>
        <w:jc w:val="both"/>
        <w:rPr>
          <w:rFonts w:asciiTheme="majorHAnsi" w:eastAsia="Malgun Gothic" w:hAnsiTheme="majorHAnsi" w:cstheme="majorHAnsi"/>
          <w:sz w:val="22"/>
          <w:szCs w:val="22"/>
          <w:u w:val="single"/>
          <w:lang w:val="en-GB"/>
        </w:rPr>
      </w:pPr>
      <w:r w:rsidRPr="00722F80">
        <w:rPr>
          <w:rFonts w:asciiTheme="majorHAnsi" w:eastAsia="Malgun Gothic" w:hAnsiTheme="majorHAnsi" w:cstheme="majorHAnsi"/>
          <w:sz w:val="22"/>
          <w:szCs w:val="22"/>
          <w:u w:val="single"/>
          <w:lang w:val="en-GB"/>
        </w:rPr>
        <w:t>In more detail:</w:t>
      </w:r>
    </w:p>
    <w:p w14:paraId="03534A5E" w14:textId="77777777" w:rsidR="00AC2DD5" w:rsidRPr="00722F80" w:rsidRDefault="00AC2DD5" w:rsidP="008C4916">
      <w:pPr>
        <w:jc w:val="both"/>
        <w:rPr>
          <w:rFonts w:asciiTheme="majorHAnsi" w:eastAsia="Malgun Gothic" w:hAnsiTheme="majorHAnsi" w:cstheme="majorHAnsi"/>
          <w:sz w:val="22"/>
          <w:szCs w:val="22"/>
          <w:u w:val="single"/>
          <w:lang w:val="en-GB"/>
        </w:rPr>
      </w:pPr>
    </w:p>
    <w:p w14:paraId="6A5A6F5E" w14:textId="19BEEB0E" w:rsidR="00D235C2" w:rsidRPr="00D235C2" w:rsidRDefault="00D235C2" w:rsidP="00D235C2">
      <w:pPr>
        <w:jc w:val="both"/>
        <w:rPr>
          <w:rFonts w:asciiTheme="majorHAnsi" w:hAnsiTheme="majorHAnsi" w:cstheme="majorHAnsi"/>
          <w:sz w:val="22"/>
          <w:szCs w:val="22"/>
          <w:lang w:val="en-GB"/>
        </w:rPr>
      </w:pPr>
      <w:r>
        <w:rPr>
          <w:rFonts w:asciiTheme="majorHAnsi" w:hAnsiTheme="majorHAnsi" w:cstheme="majorHAnsi"/>
          <w:sz w:val="22"/>
          <w:szCs w:val="22"/>
          <w:lang w:val="en-GB"/>
        </w:rPr>
        <w:t>A draft</w:t>
      </w:r>
      <w:r w:rsidR="007A1A15">
        <w:rPr>
          <w:rFonts w:asciiTheme="majorHAnsi" w:hAnsiTheme="majorHAnsi" w:cstheme="majorHAnsi"/>
          <w:sz w:val="22"/>
          <w:szCs w:val="22"/>
          <w:lang w:val="en-GB"/>
        </w:rPr>
        <w:t xml:space="preserve"> annotated outline of the study is presented </w:t>
      </w:r>
      <w:r>
        <w:rPr>
          <w:rFonts w:asciiTheme="majorHAnsi" w:hAnsiTheme="majorHAnsi" w:cstheme="majorHAnsi"/>
          <w:sz w:val="22"/>
          <w:szCs w:val="22"/>
          <w:lang w:val="en-GB"/>
        </w:rPr>
        <w:t>in the Annex 4. T</w:t>
      </w:r>
      <w:r w:rsidRPr="00D235C2">
        <w:rPr>
          <w:rFonts w:asciiTheme="majorHAnsi" w:hAnsiTheme="majorHAnsi" w:cstheme="majorHAnsi"/>
          <w:sz w:val="22"/>
          <w:szCs w:val="22"/>
          <w:lang w:val="en-GB"/>
        </w:rPr>
        <w:t xml:space="preserve">he tenderer is invited to respond </w:t>
      </w:r>
      <w:r>
        <w:rPr>
          <w:rFonts w:asciiTheme="majorHAnsi" w:hAnsiTheme="majorHAnsi" w:cstheme="majorHAnsi"/>
          <w:sz w:val="22"/>
          <w:szCs w:val="22"/>
          <w:lang w:val="en-GB"/>
        </w:rPr>
        <w:t xml:space="preserve">to this draft </w:t>
      </w:r>
      <w:r w:rsidRPr="00D235C2">
        <w:rPr>
          <w:rFonts w:asciiTheme="majorHAnsi" w:hAnsiTheme="majorHAnsi" w:cstheme="majorHAnsi"/>
          <w:sz w:val="22"/>
          <w:szCs w:val="22"/>
          <w:lang w:val="en-GB"/>
        </w:rPr>
        <w:t xml:space="preserve">with the updated </w:t>
      </w:r>
      <w:r>
        <w:rPr>
          <w:rFonts w:asciiTheme="majorHAnsi" w:hAnsiTheme="majorHAnsi" w:cstheme="majorHAnsi"/>
          <w:sz w:val="22"/>
          <w:szCs w:val="22"/>
          <w:lang w:val="en-GB"/>
        </w:rPr>
        <w:t>proposal</w:t>
      </w:r>
      <w:r w:rsidRPr="00D235C2">
        <w:rPr>
          <w:rFonts w:asciiTheme="majorHAnsi" w:hAnsiTheme="majorHAnsi" w:cstheme="majorHAnsi"/>
          <w:sz w:val="22"/>
          <w:szCs w:val="22"/>
          <w:lang w:val="en-GB"/>
        </w:rPr>
        <w:t xml:space="preserve">. Finally, upon contract signature, the Tenderer can </w:t>
      </w:r>
      <w:r>
        <w:rPr>
          <w:rFonts w:asciiTheme="majorHAnsi" w:hAnsiTheme="majorHAnsi" w:cstheme="majorHAnsi"/>
          <w:sz w:val="22"/>
          <w:szCs w:val="22"/>
          <w:lang w:val="en-GB"/>
        </w:rPr>
        <w:t xml:space="preserve">still </w:t>
      </w:r>
      <w:r w:rsidRPr="00D235C2">
        <w:rPr>
          <w:rFonts w:asciiTheme="majorHAnsi" w:hAnsiTheme="majorHAnsi" w:cstheme="majorHAnsi"/>
          <w:sz w:val="22"/>
          <w:szCs w:val="22"/>
          <w:lang w:val="en-GB"/>
        </w:rPr>
        <w:t>amend the outline in consultation with PAP/RAC.</w:t>
      </w:r>
      <w:r w:rsidR="00817FDD">
        <w:rPr>
          <w:rFonts w:asciiTheme="majorHAnsi" w:hAnsiTheme="majorHAnsi" w:cstheme="majorHAnsi"/>
          <w:sz w:val="22"/>
          <w:szCs w:val="22"/>
          <w:lang w:val="en-GB"/>
        </w:rPr>
        <w:t xml:space="preserve"> PAP/RAC will </w:t>
      </w:r>
      <w:r w:rsidR="009D3C45">
        <w:rPr>
          <w:rFonts w:asciiTheme="majorHAnsi" w:hAnsiTheme="majorHAnsi" w:cstheme="majorHAnsi"/>
          <w:sz w:val="22"/>
          <w:szCs w:val="22"/>
          <w:lang w:val="en-GB"/>
        </w:rPr>
        <w:t>assist</w:t>
      </w:r>
      <w:r w:rsidR="00817FDD">
        <w:rPr>
          <w:rFonts w:asciiTheme="majorHAnsi" w:hAnsiTheme="majorHAnsi" w:cstheme="majorHAnsi"/>
          <w:sz w:val="22"/>
          <w:szCs w:val="22"/>
          <w:lang w:val="en-GB"/>
        </w:rPr>
        <w:t xml:space="preserve"> in identifying case studies and collecting the data. </w:t>
      </w:r>
    </w:p>
    <w:p w14:paraId="22607AF9" w14:textId="77777777" w:rsidR="00D235C2" w:rsidRDefault="00D235C2" w:rsidP="009668F6">
      <w:pPr>
        <w:ind w:left="357" w:firstLine="60"/>
        <w:jc w:val="both"/>
        <w:rPr>
          <w:rFonts w:asciiTheme="majorHAnsi" w:hAnsiTheme="majorHAnsi" w:cstheme="majorHAnsi"/>
          <w:sz w:val="22"/>
          <w:szCs w:val="22"/>
          <w:lang w:val="en-GB"/>
        </w:rPr>
      </w:pPr>
    </w:p>
    <w:p w14:paraId="08BAD073" w14:textId="77777777" w:rsidR="009657CB" w:rsidRPr="00722F80" w:rsidRDefault="009657CB" w:rsidP="009657CB">
      <w:pPr>
        <w:shd w:val="clear" w:color="auto" w:fill="FFFFFF"/>
        <w:spacing w:before="120" w:after="120"/>
        <w:ind w:right="446"/>
        <w:rPr>
          <w:rFonts w:asciiTheme="majorHAnsi" w:hAnsiTheme="majorHAnsi" w:cstheme="majorHAnsi"/>
          <w:b/>
          <w:color w:val="000000"/>
          <w:sz w:val="22"/>
          <w:szCs w:val="22"/>
          <w:lang w:val="en-GB"/>
        </w:rPr>
      </w:pPr>
      <w:r w:rsidRPr="00722F80">
        <w:rPr>
          <w:rFonts w:asciiTheme="majorHAnsi" w:hAnsiTheme="majorHAnsi" w:cstheme="majorHAnsi"/>
          <w:b/>
          <w:color w:val="000000"/>
          <w:sz w:val="22"/>
          <w:szCs w:val="22"/>
          <w:lang w:val="en-GB"/>
        </w:rPr>
        <w:t>2.3. Deliverables and deadlines</w:t>
      </w:r>
    </w:p>
    <w:p w14:paraId="01DB7BA9" w14:textId="77777777" w:rsidR="009657CB" w:rsidRPr="00722F80" w:rsidRDefault="009657CB" w:rsidP="009657CB">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722F80">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9657CB" w:rsidRPr="00722F80" w14:paraId="2B258D24" w14:textId="77777777" w:rsidTr="00445AAA">
        <w:tc>
          <w:tcPr>
            <w:tcW w:w="6912" w:type="dxa"/>
          </w:tcPr>
          <w:p w14:paraId="5C23B87E" w14:textId="31AE7BF5" w:rsidR="009657CB" w:rsidRPr="00722F80" w:rsidRDefault="009657CB"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22F80">
              <w:rPr>
                <w:rFonts w:asciiTheme="majorHAnsi" w:hAnsiTheme="majorHAnsi" w:cstheme="majorHAnsi"/>
                <w:sz w:val="22"/>
                <w:szCs w:val="22"/>
                <w:lang w:val="en-GB"/>
              </w:rPr>
              <w:t xml:space="preserve"> </w:t>
            </w:r>
            <w:r w:rsidR="0000600A" w:rsidRPr="00722F80">
              <w:rPr>
                <w:rFonts w:asciiTheme="majorHAnsi" w:hAnsiTheme="majorHAnsi" w:cstheme="majorHAnsi"/>
                <w:b/>
                <w:color w:val="000000"/>
                <w:spacing w:val="4"/>
                <w:sz w:val="22"/>
                <w:szCs w:val="22"/>
                <w:lang w:val="en-GB"/>
              </w:rPr>
              <w:t>Deliverables</w:t>
            </w:r>
          </w:p>
        </w:tc>
        <w:tc>
          <w:tcPr>
            <w:tcW w:w="2835" w:type="dxa"/>
          </w:tcPr>
          <w:p w14:paraId="61699928" w14:textId="4AB8C21C" w:rsidR="009657CB" w:rsidRPr="00722F80" w:rsidRDefault="0000600A"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22F80">
              <w:rPr>
                <w:rFonts w:asciiTheme="majorHAnsi" w:hAnsiTheme="majorHAnsi" w:cstheme="majorHAnsi"/>
                <w:b/>
                <w:color w:val="000000"/>
                <w:sz w:val="22"/>
                <w:szCs w:val="22"/>
                <w:lang w:val="en-GB"/>
              </w:rPr>
              <w:t>Deadlines</w:t>
            </w:r>
          </w:p>
        </w:tc>
      </w:tr>
      <w:tr w:rsidR="009657CB" w:rsidRPr="00722F80" w14:paraId="26A886B6" w14:textId="77777777" w:rsidTr="00445AAA">
        <w:tc>
          <w:tcPr>
            <w:tcW w:w="6912" w:type="dxa"/>
          </w:tcPr>
          <w:p w14:paraId="7176F11A" w14:textId="73DCA0F0" w:rsidR="009657CB" w:rsidRPr="00722F80" w:rsidRDefault="0060164B" w:rsidP="00347930">
            <w:pPr>
              <w:pStyle w:val="ListParagraph"/>
              <w:numPr>
                <w:ilvl w:val="0"/>
                <w:numId w:val="24"/>
              </w:numPr>
              <w:rPr>
                <w:rFonts w:asciiTheme="majorHAnsi" w:hAnsiTheme="majorHAnsi" w:cstheme="majorHAnsi"/>
                <w:sz w:val="22"/>
                <w:szCs w:val="22"/>
                <w:lang w:val="en-GB"/>
              </w:rPr>
            </w:pPr>
            <w:r>
              <w:rPr>
                <w:rFonts w:asciiTheme="majorHAnsi" w:hAnsiTheme="majorHAnsi" w:cstheme="majorHAnsi"/>
                <w:sz w:val="22"/>
                <w:szCs w:val="22"/>
                <w:lang w:val="en-GB"/>
              </w:rPr>
              <w:t xml:space="preserve">Study on risks for banks and other investors in funding developments in the LECZ. </w:t>
            </w:r>
          </w:p>
        </w:tc>
        <w:tc>
          <w:tcPr>
            <w:tcW w:w="2835" w:type="dxa"/>
          </w:tcPr>
          <w:p w14:paraId="7B0C6C6D" w14:textId="10E0601C" w:rsidR="0073258E" w:rsidRPr="00722F80" w:rsidRDefault="0060164B" w:rsidP="00033F09">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31</w:t>
            </w:r>
            <w:r w:rsidR="00033F09" w:rsidRPr="00722F80">
              <w:rPr>
                <w:rFonts w:asciiTheme="majorHAnsi" w:hAnsiTheme="majorHAnsi" w:cstheme="majorHAnsi"/>
                <w:color w:val="000000"/>
                <w:spacing w:val="4"/>
                <w:sz w:val="22"/>
                <w:szCs w:val="22"/>
                <w:lang w:val="en-GB"/>
              </w:rPr>
              <w:t xml:space="preserve"> </w:t>
            </w:r>
            <w:r>
              <w:rPr>
                <w:rFonts w:asciiTheme="majorHAnsi" w:hAnsiTheme="majorHAnsi" w:cstheme="majorHAnsi"/>
                <w:color w:val="000000"/>
                <w:spacing w:val="4"/>
                <w:sz w:val="22"/>
                <w:szCs w:val="22"/>
                <w:lang w:val="en-GB"/>
              </w:rPr>
              <w:t>March</w:t>
            </w:r>
            <w:r w:rsidR="00033F09" w:rsidRPr="00722F80">
              <w:rPr>
                <w:rFonts w:asciiTheme="majorHAnsi" w:hAnsiTheme="majorHAnsi" w:cstheme="majorHAnsi"/>
                <w:color w:val="000000"/>
                <w:spacing w:val="4"/>
                <w:sz w:val="22"/>
                <w:szCs w:val="22"/>
                <w:lang w:val="en-GB"/>
              </w:rPr>
              <w:t xml:space="preserve"> 202</w:t>
            </w:r>
            <w:r w:rsidR="00FF0A9C">
              <w:rPr>
                <w:rFonts w:asciiTheme="majorHAnsi" w:hAnsiTheme="majorHAnsi" w:cstheme="majorHAnsi"/>
                <w:color w:val="000000"/>
                <w:spacing w:val="4"/>
                <w:sz w:val="22"/>
                <w:szCs w:val="22"/>
                <w:lang w:val="en-GB"/>
              </w:rPr>
              <w:t>4</w:t>
            </w:r>
          </w:p>
        </w:tc>
      </w:tr>
      <w:tr w:rsidR="00033F09" w:rsidRPr="00722F80" w14:paraId="39521054" w14:textId="77777777" w:rsidTr="00445AAA">
        <w:tc>
          <w:tcPr>
            <w:tcW w:w="6912" w:type="dxa"/>
          </w:tcPr>
          <w:p w14:paraId="0AC9EF9D" w14:textId="50D081A8" w:rsidR="00033F09" w:rsidRPr="00722F80" w:rsidRDefault="0060164B" w:rsidP="00347930">
            <w:pPr>
              <w:pStyle w:val="ListParagraph"/>
              <w:numPr>
                <w:ilvl w:val="0"/>
                <w:numId w:val="24"/>
              </w:numPr>
              <w:rPr>
                <w:rFonts w:asciiTheme="majorHAnsi" w:hAnsiTheme="majorHAnsi" w:cstheme="majorHAnsi"/>
                <w:sz w:val="22"/>
                <w:szCs w:val="22"/>
                <w:lang w:val="en-GB"/>
              </w:rPr>
            </w:pPr>
            <w:r>
              <w:rPr>
                <w:rFonts w:asciiTheme="majorHAnsi" w:hAnsiTheme="majorHAnsi" w:cstheme="majorHAnsi"/>
                <w:sz w:val="22"/>
                <w:szCs w:val="22"/>
                <w:lang w:val="en-GB"/>
              </w:rPr>
              <w:t>Two policy briefs</w:t>
            </w:r>
          </w:p>
        </w:tc>
        <w:tc>
          <w:tcPr>
            <w:tcW w:w="2835" w:type="dxa"/>
          </w:tcPr>
          <w:p w14:paraId="38FD6565" w14:textId="7CB93BCA" w:rsidR="00033F09" w:rsidRPr="00722F80" w:rsidRDefault="0060164B" w:rsidP="00033F09">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15</w:t>
            </w:r>
            <w:r w:rsidR="00033F09" w:rsidRPr="00722F80">
              <w:rPr>
                <w:rFonts w:asciiTheme="majorHAnsi" w:hAnsiTheme="majorHAnsi" w:cstheme="majorHAnsi"/>
                <w:color w:val="000000"/>
                <w:spacing w:val="4"/>
                <w:sz w:val="22"/>
                <w:szCs w:val="22"/>
                <w:lang w:val="en-GB"/>
              </w:rPr>
              <w:t xml:space="preserve"> </w:t>
            </w:r>
            <w:r>
              <w:rPr>
                <w:rFonts w:asciiTheme="majorHAnsi" w:hAnsiTheme="majorHAnsi" w:cstheme="majorHAnsi"/>
                <w:color w:val="000000"/>
                <w:spacing w:val="4"/>
                <w:sz w:val="22"/>
                <w:szCs w:val="22"/>
                <w:lang w:val="en-GB"/>
              </w:rPr>
              <w:t>April</w:t>
            </w:r>
            <w:r w:rsidR="00033F09" w:rsidRPr="00722F80">
              <w:rPr>
                <w:rFonts w:asciiTheme="majorHAnsi" w:hAnsiTheme="majorHAnsi" w:cstheme="majorHAnsi"/>
                <w:color w:val="000000"/>
                <w:spacing w:val="4"/>
                <w:sz w:val="22"/>
                <w:szCs w:val="22"/>
                <w:lang w:val="en-GB"/>
              </w:rPr>
              <w:t xml:space="preserve"> 202</w:t>
            </w:r>
            <w:r w:rsidR="00FF0A9C">
              <w:rPr>
                <w:rFonts w:asciiTheme="majorHAnsi" w:hAnsiTheme="majorHAnsi" w:cstheme="majorHAnsi"/>
                <w:color w:val="000000"/>
                <w:spacing w:val="4"/>
                <w:sz w:val="22"/>
                <w:szCs w:val="22"/>
                <w:lang w:val="en-GB"/>
              </w:rPr>
              <w:t>4</w:t>
            </w:r>
          </w:p>
          <w:p w14:paraId="7FFA1DB1" w14:textId="77777777" w:rsidR="00033F09" w:rsidRPr="00722F80" w:rsidRDefault="00033F09" w:rsidP="00445AAA">
            <w:pPr>
              <w:rPr>
                <w:rFonts w:asciiTheme="majorHAnsi" w:hAnsiTheme="majorHAnsi" w:cstheme="majorHAnsi"/>
                <w:color w:val="000000"/>
                <w:spacing w:val="4"/>
                <w:sz w:val="22"/>
                <w:szCs w:val="22"/>
                <w:lang w:val="en-GB"/>
              </w:rPr>
            </w:pPr>
          </w:p>
        </w:tc>
      </w:tr>
      <w:tr w:rsidR="00E669F1" w:rsidRPr="00722F80" w14:paraId="7CD026DD" w14:textId="77777777" w:rsidTr="00EC5230">
        <w:trPr>
          <w:trHeight w:val="424"/>
        </w:trPr>
        <w:tc>
          <w:tcPr>
            <w:tcW w:w="6912" w:type="dxa"/>
            <w:shd w:val="clear" w:color="auto" w:fill="auto"/>
          </w:tcPr>
          <w:p w14:paraId="6C1168AB" w14:textId="3AF7DD9B" w:rsidR="00370A90" w:rsidRPr="00722F80" w:rsidRDefault="0060164B" w:rsidP="00842F24">
            <w:pPr>
              <w:pStyle w:val="ListParagraph"/>
              <w:numPr>
                <w:ilvl w:val="0"/>
                <w:numId w:val="24"/>
              </w:num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Presentations for the training workshop</w:t>
            </w:r>
          </w:p>
        </w:tc>
        <w:tc>
          <w:tcPr>
            <w:tcW w:w="2835" w:type="dxa"/>
          </w:tcPr>
          <w:p w14:paraId="72E95789" w14:textId="15DEB549" w:rsidR="00E669F1" w:rsidRPr="00722F80" w:rsidRDefault="0060164B" w:rsidP="00EC5230">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15 April </w:t>
            </w:r>
            <w:r w:rsidR="00347930" w:rsidRPr="00722F80">
              <w:rPr>
                <w:rFonts w:asciiTheme="majorHAnsi" w:hAnsiTheme="majorHAnsi" w:cstheme="majorHAnsi"/>
                <w:color w:val="000000"/>
                <w:spacing w:val="4"/>
                <w:sz w:val="22"/>
                <w:szCs w:val="22"/>
                <w:lang w:val="en-GB"/>
              </w:rPr>
              <w:t>202</w:t>
            </w:r>
            <w:r w:rsidR="00FF0A9C">
              <w:rPr>
                <w:rFonts w:asciiTheme="majorHAnsi" w:hAnsiTheme="majorHAnsi" w:cstheme="majorHAnsi"/>
                <w:color w:val="000000"/>
                <w:spacing w:val="4"/>
                <w:sz w:val="22"/>
                <w:szCs w:val="22"/>
                <w:lang w:val="en-GB"/>
              </w:rPr>
              <w:t>4</w:t>
            </w:r>
          </w:p>
        </w:tc>
      </w:tr>
    </w:tbl>
    <w:p w14:paraId="42A51D4E" w14:textId="57131299" w:rsidR="00D235C2" w:rsidRPr="00D235C2" w:rsidRDefault="00491EEC" w:rsidP="00D235C2">
      <w:pPr>
        <w:spacing w:before="120" w:after="120"/>
        <w:rPr>
          <w:rFonts w:asciiTheme="majorHAnsi" w:hAnsiTheme="majorHAnsi" w:cstheme="majorHAnsi"/>
          <w:sz w:val="22"/>
          <w:szCs w:val="22"/>
          <w:lang w:val="en-GB"/>
        </w:rPr>
      </w:pPr>
      <w:r w:rsidRPr="00722F80">
        <w:rPr>
          <w:rFonts w:asciiTheme="majorHAnsi" w:hAnsiTheme="majorHAnsi" w:cstheme="majorHAnsi"/>
          <w:color w:val="000000"/>
          <w:spacing w:val="1"/>
          <w:sz w:val="22"/>
          <w:szCs w:val="22"/>
          <w:lang w:val="en-GB"/>
        </w:rPr>
        <w:t xml:space="preserve"> </w:t>
      </w:r>
      <w:r w:rsidR="009657CB" w:rsidRPr="00722F80">
        <w:rPr>
          <w:rFonts w:asciiTheme="majorHAnsi" w:hAnsiTheme="majorHAnsi" w:cstheme="majorHAnsi"/>
          <w:color w:val="000000"/>
          <w:spacing w:val="1"/>
          <w:sz w:val="22"/>
          <w:szCs w:val="22"/>
          <w:lang w:val="en-GB"/>
        </w:rPr>
        <w:t xml:space="preserve">The above-listed deliverables shall be written in </w:t>
      </w:r>
      <w:r w:rsidR="004F6DA4" w:rsidRPr="00722F80">
        <w:rPr>
          <w:rFonts w:asciiTheme="majorHAnsi" w:hAnsiTheme="majorHAnsi" w:cstheme="majorHAnsi"/>
          <w:color w:val="000000"/>
          <w:spacing w:val="1"/>
          <w:sz w:val="22"/>
          <w:szCs w:val="22"/>
          <w:lang w:val="en-GB"/>
        </w:rPr>
        <w:t>English</w:t>
      </w:r>
      <w:r w:rsidR="009657CB" w:rsidRPr="00722F80">
        <w:rPr>
          <w:rFonts w:asciiTheme="majorHAnsi" w:hAnsiTheme="majorHAnsi" w:cstheme="majorHAnsi"/>
          <w:color w:val="000000"/>
          <w:spacing w:val="1"/>
          <w:sz w:val="22"/>
          <w:szCs w:val="22"/>
          <w:lang w:val="en-GB"/>
        </w:rPr>
        <w:t xml:space="preserve"> </w:t>
      </w:r>
      <w:r w:rsidR="009657CB" w:rsidRPr="00722F80">
        <w:rPr>
          <w:rFonts w:asciiTheme="majorHAnsi" w:hAnsiTheme="majorHAnsi" w:cstheme="majorHAnsi"/>
          <w:sz w:val="22"/>
          <w:szCs w:val="22"/>
          <w:lang w:val="en-GB"/>
        </w:rPr>
        <w:t>in an electronic form</w:t>
      </w:r>
      <w:r w:rsidR="00D235C2">
        <w:rPr>
          <w:rFonts w:asciiTheme="majorHAnsi" w:hAnsiTheme="majorHAnsi" w:cstheme="majorHAnsi"/>
          <w:sz w:val="22"/>
          <w:szCs w:val="22"/>
          <w:lang w:val="en-GB"/>
        </w:rPr>
        <w:t xml:space="preserve"> </w:t>
      </w:r>
      <w:r w:rsidR="00D235C2" w:rsidRPr="00D235C2">
        <w:rPr>
          <w:rFonts w:asciiTheme="majorHAnsi" w:hAnsiTheme="majorHAnsi" w:cstheme="majorHAnsi"/>
          <w:sz w:val="22"/>
          <w:szCs w:val="22"/>
          <w:lang w:val="en-GB"/>
        </w:rPr>
        <w:t>(Word for Windows).</w:t>
      </w:r>
    </w:p>
    <w:p w14:paraId="31B34132" w14:textId="77777777" w:rsidR="009657CB" w:rsidRPr="00722F80" w:rsidRDefault="009657CB" w:rsidP="00EC5230">
      <w:pPr>
        <w:spacing w:before="120" w:after="120"/>
        <w:rPr>
          <w:rFonts w:asciiTheme="majorHAnsi" w:hAnsiTheme="majorHAnsi" w:cstheme="majorHAnsi"/>
          <w:sz w:val="22"/>
          <w:szCs w:val="22"/>
          <w:lang w:val="en-GB" w:eastAsia="en-US"/>
        </w:rPr>
      </w:pPr>
    </w:p>
    <w:p w14:paraId="44D8ED36" w14:textId="77777777" w:rsidR="009657CB" w:rsidRPr="00722F80" w:rsidRDefault="009657CB" w:rsidP="00EC5230">
      <w:pPr>
        <w:spacing w:before="120" w:after="120"/>
        <w:ind w:left="235" w:hanging="235"/>
        <w:rPr>
          <w:rFonts w:asciiTheme="majorHAnsi" w:hAnsiTheme="majorHAnsi" w:cstheme="majorHAnsi"/>
          <w:sz w:val="22"/>
          <w:szCs w:val="22"/>
          <w:lang w:val="en-GB"/>
        </w:rPr>
      </w:pPr>
      <w:r w:rsidRPr="00722F80">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722F80" w:rsidRDefault="009657CB" w:rsidP="00EC5230">
      <w:pPr>
        <w:tabs>
          <w:tab w:val="left" w:pos="422"/>
        </w:tabs>
        <w:spacing w:before="120" w:after="120"/>
        <w:rPr>
          <w:rFonts w:asciiTheme="majorHAnsi" w:hAnsiTheme="majorHAnsi" w:cstheme="majorHAnsi"/>
          <w:sz w:val="22"/>
          <w:szCs w:val="22"/>
          <w:lang w:val="en-GB"/>
        </w:rPr>
      </w:pPr>
      <w:r w:rsidRPr="00722F80">
        <w:rPr>
          <w:rFonts w:asciiTheme="majorHAnsi" w:hAnsiTheme="majorHAnsi" w:cstheme="majorHAnsi"/>
          <w:b/>
          <w:color w:val="000000"/>
          <w:spacing w:val="-6"/>
          <w:sz w:val="22"/>
          <w:szCs w:val="22"/>
          <w:lang w:val="en-GB"/>
        </w:rPr>
        <w:t>3.1.</w:t>
      </w:r>
      <w:r w:rsidRPr="00722F80">
        <w:rPr>
          <w:rFonts w:asciiTheme="majorHAnsi" w:hAnsiTheme="majorHAnsi" w:cstheme="majorHAnsi"/>
          <w:b/>
          <w:color w:val="000000"/>
          <w:sz w:val="22"/>
          <w:szCs w:val="22"/>
          <w:lang w:val="en-GB"/>
        </w:rPr>
        <w:tab/>
        <w:t>Technical and professional capacity</w:t>
      </w:r>
    </w:p>
    <w:p w14:paraId="6BF68D85" w14:textId="77777777" w:rsidR="00BF1EB8" w:rsidRDefault="00BF1EB8" w:rsidP="00EC5230">
      <w:pPr>
        <w:spacing w:before="120" w:after="120"/>
        <w:jc w:val="both"/>
        <w:rPr>
          <w:rFonts w:asciiTheme="majorHAnsi" w:hAnsiTheme="majorHAnsi" w:cstheme="majorHAnsi"/>
          <w:b/>
          <w:bCs/>
          <w:sz w:val="22"/>
          <w:szCs w:val="22"/>
          <w:lang w:val="en-GB"/>
        </w:rPr>
      </w:pPr>
      <w:r w:rsidRPr="00722F80">
        <w:rPr>
          <w:rFonts w:asciiTheme="majorHAnsi" w:hAnsiTheme="majorHAnsi" w:cstheme="majorHAnsi"/>
          <w:b/>
          <w:bCs/>
          <w:sz w:val="22"/>
          <w:szCs w:val="22"/>
          <w:lang w:val="en-GB"/>
        </w:rPr>
        <w:t xml:space="preserve">The Tenderer shall prove it has the following qualifications: </w:t>
      </w:r>
    </w:p>
    <w:p w14:paraId="7C747B6C" w14:textId="2D58A52F" w:rsidR="00D235C2" w:rsidRPr="001854C2" w:rsidRDefault="00D235C2" w:rsidP="00D235C2">
      <w:pPr>
        <w:widowControl w:val="0"/>
        <w:numPr>
          <w:ilvl w:val="0"/>
          <w:numId w:val="36"/>
        </w:numPr>
        <w:autoSpaceDE w:val="0"/>
        <w:autoSpaceDN w:val="0"/>
        <w:adjustRightInd w:val="0"/>
        <w:spacing w:before="120" w:after="120"/>
        <w:ind w:left="357" w:hanging="357"/>
        <w:rPr>
          <w:rFonts w:cs="Arial"/>
          <w:szCs w:val="22"/>
        </w:rPr>
      </w:pPr>
      <w:r w:rsidRPr="00D235C2">
        <w:rPr>
          <w:rFonts w:asciiTheme="majorHAnsi" w:hAnsiTheme="majorHAnsi" w:cstheme="majorHAnsi"/>
          <w:sz w:val="22"/>
          <w:szCs w:val="22"/>
          <w:lang w:val="en-GB"/>
        </w:rPr>
        <w:t xml:space="preserve">Recognised degree in one of the following fields: </w:t>
      </w:r>
      <w:r>
        <w:rPr>
          <w:rFonts w:asciiTheme="majorHAnsi" w:hAnsiTheme="majorHAnsi" w:cstheme="majorHAnsi"/>
          <w:sz w:val="22"/>
          <w:szCs w:val="22"/>
          <w:lang w:val="en-GB"/>
        </w:rPr>
        <w:t>university degree in</w:t>
      </w:r>
      <w:r w:rsidRPr="00722F80">
        <w:rPr>
          <w:rFonts w:asciiTheme="majorHAnsi" w:hAnsiTheme="majorHAnsi" w:cstheme="majorHAnsi"/>
          <w:sz w:val="22"/>
          <w:szCs w:val="22"/>
          <w:lang w:val="en-GB"/>
        </w:rPr>
        <w:t xml:space="preserve"> the field of environmental </w:t>
      </w:r>
      <w:r>
        <w:rPr>
          <w:rFonts w:asciiTheme="majorHAnsi" w:hAnsiTheme="majorHAnsi" w:cstheme="majorHAnsi"/>
          <w:sz w:val="22"/>
          <w:szCs w:val="22"/>
          <w:lang w:val="en-GB"/>
        </w:rPr>
        <w:t>economics or related sciences</w:t>
      </w:r>
      <w:r>
        <w:rPr>
          <w:rFonts w:cs="Calibri"/>
          <w:szCs w:val="22"/>
        </w:rPr>
        <w:t>;</w:t>
      </w:r>
    </w:p>
    <w:p w14:paraId="4A9AFD66" w14:textId="28D784E2" w:rsidR="00D235C2" w:rsidRPr="00D235C2" w:rsidRDefault="00D235C2" w:rsidP="00D235C2">
      <w:pPr>
        <w:pStyle w:val="Default"/>
        <w:numPr>
          <w:ilvl w:val="0"/>
          <w:numId w:val="36"/>
        </w:numPr>
        <w:spacing w:before="120" w:after="120"/>
        <w:ind w:left="357" w:hanging="357"/>
        <w:rPr>
          <w:rFonts w:asciiTheme="majorHAnsi" w:hAnsiTheme="majorHAnsi" w:cstheme="majorHAnsi"/>
          <w:color w:val="auto"/>
          <w:sz w:val="22"/>
          <w:szCs w:val="22"/>
          <w:lang w:val="en-GB"/>
        </w:rPr>
      </w:pPr>
      <w:r w:rsidRPr="00D235C2">
        <w:rPr>
          <w:rFonts w:asciiTheme="majorHAnsi" w:hAnsiTheme="majorHAnsi" w:cstheme="majorHAnsi"/>
          <w:color w:val="auto"/>
          <w:sz w:val="22"/>
          <w:szCs w:val="22"/>
          <w:lang w:val="en-GB"/>
        </w:rPr>
        <w:t>Minimum of 10 years of experience in working on projects relevant to the Tender.</w:t>
      </w:r>
    </w:p>
    <w:p w14:paraId="022CA36C" w14:textId="77777777" w:rsidR="00D235C2" w:rsidRPr="00722F80" w:rsidRDefault="00D235C2" w:rsidP="00D235C2">
      <w:pPr>
        <w:pStyle w:val="ListParagraph"/>
        <w:numPr>
          <w:ilvl w:val="0"/>
          <w:numId w:val="36"/>
        </w:numPr>
        <w:spacing w:after="160" w:line="259" w:lineRule="auto"/>
        <w:rPr>
          <w:rFonts w:asciiTheme="majorHAnsi" w:hAnsiTheme="majorHAnsi" w:cstheme="majorHAnsi"/>
          <w:sz w:val="22"/>
          <w:szCs w:val="22"/>
          <w:lang w:val="en-GB"/>
        </w:rPr>
      </w:pPr>
      <w:r w:rsidRPr="00722F80">
        <w:rPr>
          <w:rFonts w:asciiTheme="majorHAnsi" w:hAnsiTheme="majorHAnsi" w:cstheme="majorHAnsi"/>
          <w:sz w:val="22"/>
          <w:szCs w:val="22"/>
          <w:lang w:val="en-GB"/>
        </w:rPr>
        <w:t xml:space="preserve">Written and oral fluency in English. </w:t>
      </w:r>
    </w:p>
    <w:p w14:paraId="161DDFDA" w14:textId="0D3EF3DD" w:rsidR="00AF7FD8" w:rsidRPr="00722F80" w:rsidRDefault="00AF7FD8" w:rsidP="00AF7FD8">
      <w:pPr>
        <w:shd w:val="clear" w:color="auto" w:fill="FFFFFF"/>
        <w:spacing w:before="120" w:after="120"/>
        <w:jc w:val="both"/>
        <w:rPr>
          <w:rFonts w:asciiTheme="majorHAnsi" w:hAnsiTheme="majorHAnsi" w:cstheme="majorHAnsi"/>
          <w:sz w:val="22"/>
          <w:szCs w:val="22"/>
          <w:lang w:val="en-GB"/>
        </w:rPr>
      </w:pPr>
      <w:r w:rsidRPr="00722F80">
        <w:rPr>
          <w:rFonts w:asciiTheme="majorHAnsi" w:hAnsiTheme="majorHAnsi" w:cstheme="majorHAnsi"/>
          <w:b/>
          <w:color w:val="000000"/>
          <w:sz w:val="22"/>
          <w:szCs w:val="22"/>
          <w:u w:val="single"/>
          <w:lang w:val="en-GB"/>
        </w:rPr>
        <w:t xml:space="preserve">For the purposes of establishing the grounds set out in item 3.1. </w:t>
      </w:r>
      <w:r w:rsidRPr="00722F80">
        <w:rPr>
          <w:rFonts w:asciiTheme="majorHAnsi" w:hAnsiTheme="majorHAnsi" w:cstheme="majorHAnsi"/>
          <w:b/>
          <w:sz w:val="22"/>
          <w:szCs w:val="22"/>
          <w:u w:val="single"/>
          <w:lang w:val="en-GB"/>
        </w:rPr>
        <w:t>of the Invitation to Tender</w:t>
      </w:r>
      <w:r w:rsidR="006661A7" w:rsidRPr="00722F80">
        <w:rPr>
          <w:rFonts w:asciiTheme="majorHAnsi" w:hAnsiTheme="majorHAnsi" w:cstheme="majorHAnsi"/>
          <w:b/>
          <w:sz w:val="22"/>
          <w:szCs w:val="22"/>
          <w:u w:val="single"/>
          <w:lang w:val="en-GB"/>
        </w:rPr>
        <w:t>,</w:t>
      </w:r>
      <w:r w:rsidRPr="00722F80">
        <w:rPr>
          <w:rFonts w:asciiTheme="majorHAnsi" w:hAnsiTheme="majorHAnsi" w:cstheme="majorHAnsi"/>
          <w:b/>
          <w:sz w:val="22"/>
          <w:szCs w:val="22"/>
          <w:u w:val="single"/>
          <w:lang w:val="en-GB"/>
        </w:rPr>
        <w:t xml:space="preserve"> the Tenderer shall submit the following in his Tender:</w:t>
      </w:r>
    </w:p>
    <w:p w14:paraId="13216EC9" w14:textId="5A6C712F" w:rsidR="00AF7FD8" w:rsidRPr="00722F80"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2" w:name="_Hlk28379372"/>
      <w:r w:rsidRPr="00722F80">
        <w:rPr>
          <w:rFonts w:asciiTheme="majorHAnsi" w:hAnsiTheme="majorHAnsi" w:cstheme="majorHAnsi"/>
          <w:i/>
          <w:sz w:val="22"/>
          <w:szCs w:val="22"/>
          <w:lang w:val="en-GB"/>
        </w:rPr>
        <w:t>The Tenderer</w:t>
      </w:r>
      <w:r w:rsidRPr="00722F80">
        <w:rPr>
          <w:rFonts w:asciiTheme="majorHAnsi" w:hAnsiTheme="majorHAnsi" w:cstheme="majorHAnsi"/>
          <w:i/>
          <w:sz w:val="22"/>
          <w:szCs w:val="22"/>
          <w:cs/>
          <w:lang w:val="en-GB"/>
        </w:rPr>
        <w:t>’</w:t>
      </w:r>
      <w:r w:rsidRPr="00722F80">
        <w:rPr>
          <w:rFonts w:asciiTheme="majorHAnsi" w:hAnsiTheme="majorHAnsi" w:cstheme="majorHAnsi"/>
          <w:i/>
          <w:sz w:val="22"/>
          <w:szCs w:val="22"/>
          <w:lang w:val="en-GB"/>
        </w:rPr>
        <w:t>s</w:t>
      </w:r>
      <w:r w:rsidRPr="00722F80">
        <w:rPr>
          <w:rFonts w:asciiTheme="majorHAnsi" w:hAnsiTheme="majorHAnsi" w:cstheme="majorHAnsi"/>
          <w:sz w:val="22"/>
          <w:szCs w:val="22"/>
          <w:lang w:val="en-GB"/>
        </w:rPr>
        <w:t xml:space="preserve"> </w:t>
      </w:r>
      <w:r w:rsidRPr="00722F80">
        <w:rPr>
          <w:rFonts w:asciiTheme="majorHAnsi" w:hAnsiTheme="majorHAnsi" w:cstheme="majorHAnsi"/>
          <w:b/>
          <w:i/>
          <w:color w:val="000000"/>
          <w:spacing w:val="2"/>
          <w:sz w:val="22"/>
          <w:szCs w:val="22"/>
          <w:lang w:val="en-GB"/>
        </w:rPr>
        <w:t xml:space="preserve">curriculum vitae (CV), </w:t>
      </w:r>
      <w:r w:rsidRPr="00722F80">
        <w:rPr>
          <w:rFonts w:asciiTheme="majorHAnsi" w:hAnsiTheme="majorHAnsi" w:cstheme="majorHAnsi"/>
          <w:bCs/>
          <w:i/>
          <w:color w:val="000000"/>
          <w:spacing w:val="2"/>
          <w:sz w:val="22"/>
          <w:szCs w:val="22"/>
          <w:lang w:val="en-GB"/>
        </w:rPr>
        <w:t>clearly highlighting,</w:t>
      </w:r>
      <w:r w:rsidRPr="00722F80">
        <w:rPr>
          <w:rFonts w:asciiTheme="majorHAnsi" w:hAnsiTheme="majorHAnsi" w:cstheme="majorHAnsi"/>
          <w:b/>
          <w:i/>
          <w:color w:val="000000"/>
          <w:spacing w:val="2"/>
          <w:sz w:val="22"/>
          <w:szCs w:val="22"/>
          <w:lang w:val="en-GB"/>
        </w:rPr>
        <w:t xml:space="preserve"> </w:t>
      </w:r>
      <w:r w:rsidRPr="00722F80">
        <w:rPr>
          <w:rFonts w:asciiTheme="majorHAnsi" w:hAnsiTheme="majorHAnsi" w:cstheme="majorHAnsi"/>
          <w:bCs/>
          <w:i/>
          <w:color w:val="000000"/>
          <w:spacing w:val="2"/>
          <w:sz w:val="22"/>
          <w:szCs w:val="22"/>
          <w:lang w:val="en-GB"/>
        </w:rPr>
        <w:t>among others,</w:t>
      </w:r>
      <w:r w:rsidRPr="00722F80">
        <w:rPr>
          <w:rFonts w:asciiTheme="majorHAnsi" w:hAnsiTheme="majorHAnsi" w:cstheme="majorHAnsi"/>
          <w:b/>
          <w:i/>
          <w:color w:val="000000"/>
          <w:spacing w:val="2"/>
          <w:sz w:val="22"/>
          <w:szCs w:val="22"/>
          <w:lang w:val="en-GB"/>
        </w:rPr>
        <w:t xml:space="preserve"> </w:t>
      </w:r>
      <w:r w:rsidR="006661A7" w:rsidRPr="00722F80">
        <w:rPr>
          <w:rFonts w:asciiTheme="majorHAnsi" w:hAnsiTheme="majorHAnsi" w:cstheme="majorHAnsi"/>
          <w:b/>
          <w:i/>
          <w:color w:val="000000"/>
          <w:spacing w:val="2"/>
          <w:sz w:val="22"/>
          <w:szCs w:val="22"/>
          <w:lang w:val="en-GB"/>
        </w:rPr>
        <w:t xml:space="preserve">the </w:t>
      </w:r>
      <w:r w:rsidRPr="00722F80">
        <w:rPr>
          <w:rFonts w:asciiTheme="majorHAnsi" w:hAnsiTheme="majorHAnsi" w:cstheme="majorHAnsi"/>
          <w:b/>
          <w:i/>
          <w:color w:val="000000"/>
          <w:spacing w:val="2"/>
          <w:sz w:val="22"/>
          <w:szCs w:val="22"/>
          <w:lang w:val="en-GB"/>
        </w:rPr>
        <w:t xml:space="preserve">required technical and professional qualifications. </w:t>
      </w:r>
    </w:p>
    <w:p w14:paraId="16C90B07" w14:textId="77777777" w:rsidR="00EC5230" w:rsidRPr="00722F80" w:rsidRDefault="00EC5230" w:rsidP="00EC5230">
      <w:pPr>
        <w:shd w:val="clear" w:color="auto" w:fill="FFFFFF"/>
        <w:tabs>
          <w:tab w:val="left" w:pos="672"/>
        </w:tabs>
        <w:spacing w:before="120" w:after="120" w:line="276" w:lineRule="auto"/>
        <w:rPr>
          <w:rFonts w:asciiTheme="majorHAnsi" w:hAnsiTheme="majorHAnsi" w:cstheme="majorHAnsi"/>
          <w:b/>
          <w:bCs/>
          <w:i/>
          <w:iCs/>
          <w:color w:val="000000"/>
          <w:spacing w:val="-12"/>
          <w:sz w:val="22"/>
          <w:szCs w:val="22"/>
          <w:lang w:val="en-GB"/>
        </w:rPr>
      </w:pPr>
    </w:p>
    <w:bookmarkEnd w:id="2"/>
    <w:p w14:paraId="21959476" w14:textId="53840723" w:rsidR="002D562D" w:rsidRPr="00722F80" w:rsidRDefault="002D562D" w:rsidP="002D562D">
      <w:pPr>
        <w:shd w:val="clear" w:color="auto" w:fill="FFFFFF"/>
        <w:spacing w:before="120" w:after="120"/>
        <w:rPr>
          <w:rFonts w:asciiTheme="majorHAnsi" w:hAnsiTheme="majorHAnsi" w:cstheme="majorHAnsi"/>
          <w:sz w:val="22"/>
          <w:szCs w:val="22"/>
          <w:lang w:val="en-GB"/>
        </w:rPr>
      </w:pPr>
      <w:r w:rsidRPr="00722F80">
        <w:rPr>
          <w:rFonts w:asciiTheme="majorHAnsi" w:hAnsiTheme="majorHAnsi" w:cstheme="majorHAnsi"/>
          <w:b/>
          <w:color w:val="000000"/>
          <w:spacing w:val="-2"/>
          <w:sz w:val="22"/>
          <w:szCs w:val="22"/>
          <w:lang w:val="en-GB"/>
        </w:rPr>
        <w:t>4. INFORMATION ON THE TENDER</w:t>
      </w:r>
    </w:p>
    <w:p w14:paraId="026D25F9" w14:textId="77777777" w:rsidR="002D562D" w:rsidRPr="00722F80"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722F80">
        <w:rPr>
          <w:rFonts w:asciiTheme="majorHAnsi" w:hAnsiTheme="majorHAnsi" w:cstheme="majorHAnsi"/>
          <w:b/>
          <w:color w:val="000000"/>
          <w:spacing w:val="-6"/>
          <w:sz w:val="22"/>
          <w:szCs w:val="22"/>
          <w:lang w:val="en-GB"/>
        </w:rPr>
        <w:t>4.1.</w:t>
      </w:r>
      <w:r w:rsidRPr="00722F80">
        <w:rPr>
          <w:rFonts w:asciiTheme="majorHAnsi" w:hAnsiTheme="majorHAnsi" w:cstheme="majorHAnsi"/>
          <w:b/>
          <w:color w:val="000000"/>
          <w:sz w:val="22"/>
          <w:szCs w:val="22"/>
          <w:lang w:val="en-GB"/>
        </w:rPr>
        <w:tab/>
      </w:r>
      <w:r w:rsidRPr="00722F80">
        <w:rPr>
          <w:rFonts w:asciiTheme="majorHAnsi" w:hAnsiTheme="majorHAnsi" w:cstheme="majorHAnsi"/>
          <w:b/>
          <w:color w:val="000000"/>
          <w:spacing w:val="-1"/>
          <w:sz w:val="22"/>
          <w:szCs w:val="22"/>
          <w:lang w:val="en-GB"/>
        </w:rPr>
        <w:t>Tender contents and format</w:t>
      </w:r>
    </w:p>
    <w:p w14:paraId="3056704A" w14:textId="77777777" w:rsidR="002D562D" w:rsidRPr="00722F80" w:rsidRDefault="002D562D" w:rsidP="002D562D">
      <w:pPr>
        <w:shd w:val="clear" w:color="auto" w:fill="FFFFFF"/>
        <w:spacing w:before="120" w:after="120"/>
        <w:ind w:left="230"/>
        <w:rPr>
          <w:rFonts w:asciiTheme="majorHAnsi" w:hAnsiTheme="majorHAnsi" w:cstheme="majorHAnsi"/>
          <w:sz w:val="22"/>
          <w:szCs w:val="22"/>
          <w:lang w:val="en-GB"/>
        </w:rPr>
      </w:pPr>
      <w:bookmarkStart w:id="3" w:name="_Hlk28380393"/>
      <w:r w:rsidRPr="00722F80">
        <w:rPr>
          <w:rFonts w:asciiTheme="majorHAnsi" w:hAnsiTheme="majorHAnsi" w:cstheme="majorHAnsi"/>
          <w:spacing w:val="-1"/>
          <w:sz w:val="22"/>
          <w:szCs w:val="22"/>
          <w:lang w:val="en-GB"/>
        </w:rPr>
        <w:t>The Tender proposal should contain the following elements:</w:t>
      </w:r>
    </w:p>
    <w:p w14:paraId="7F1E8E83" w14:textId="3A9E28BB" w:rsidR="002D562D" w:rsidRPr="00722F8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sidRPr="00722F80">
        <w:rPr>
          <w:rFonts w:asciiTheme="majorHAnsi" w:hAnsiTheme="majorHAnsi" w:cstheme="majorHAnsi"/>
          <w:b/>
          <w:spacing w:val="8"/>
          <w:sz w:val="22"/>
          <w:szCs w:val="22"/>
          <w:lang w:val="en-GB"/>
        </w:rPr>
        <w:t xml:space="preserve"> </w:t>
      </w:r>
      <w:r w:rsidR="002D562D" w:rsidRPr="00722F80">
        <w:rPr>
          <w:rFonts w:asciiTheme="majorHAnsi" w:hAnsiTheme="majorHAnsi" w:cstheme="majorHAnsi"/>
          <w:b/>
          <w:spacing w:val="8"/>
          <w:sz w:val="22"/>
          <w:szCs w:val="22"/>
          <w:lang w:val="en-GB"/>
        </w:rPr>
        <w:t xml:space="preserve">Tender sheet </w:t>
      </w:r>
      <w:r w:rsidR="002D562D" w:rsidRPr="00722F80">
        <w:rPr>
          <w:rFonts w:asciiTheme="majorHAnsi" w:hAnsiTheme="majorHAnsi" w:cstheme="majorHAnsi"/>
          <w:bCs/>
          <w:spacing w:val="8"/>
          <w:sz w:val="22"/>
          <w:szCs w:val="22"/>
          <w:lang w:val="en-GB"/>
        </w:rPr>
        <w:t>signed and</w:t>
      </w:r>
      <w:r w:rsidR="002D562D" w:rsidRPr="00722F80">
        <w:rPr>
          <w:rFonts w:asciiTheme="majorHAnsi" w:hAnsiTheme="majorHAnsi" w:cstheme="majorHAnsi"/>
          <w:b/>
          <w:spacing w:val="8"/>
          <w:sz w:val="22"/>
          <w:szCs w:val="22"/>
          <w:lang w:val="en-GB"/>
        </w:rPr>
        <w:t xml:space="preserve"> </w:t>
      </w:r>
      <w:r w:rsidR="002D562D" w:rsidRPr="00722F80">
        <w:rPr>
          <w:rFonts w:asciiTheme="majorHAnsi" w:hAnsiTheme="majorHAnsi" w:cstheme="majorHAnsi"/>
          <w:spacing w:val="8"/>
          <w:sz w:val="22"/>
          <w:szCs w:val="22"/>
          <w:lang w:val="en-GB"/>
        </w:rPr>
        <w:t xml:space="preserve">filled in according to this Invitation to Tender </w:t>
      </w:r>
      <w:r w:rsidR="002D562D" w:rsidRPr="00722F80">
        <w:rPr>
          <w:rFonts w:asciiTheme="majorHAnsi" w:hAnsiTheme="majorHAnsi" w:cstheme="majorHAnsi"/>
          <w:spacing w:val="-3"/>
          <w:sz w:val="22"/>
          <w:szCs w:val="22"/>
          <w:lang w:val="en-GB"/>
        </w:rPr>
        <w:t xml:space="preserve">(Annex 1); </w:t>
      </w:r>
    </w:p>
    <w:p w14:paraId="524E414F" w14:textId="704BB8F9" w:rsidR="002D562D" w:rsidRPr="00722F8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722F80">
        <w:rPr>
          <w:rFonts w:asciiTheme="majorHAnsi" w:hAnsiTheme="majorHAnsi" w:cstheme="majorHAnsi"/>
          <w:b/>
          <w:sz w:val="22"/>
          <w:szCs w:val="22"/>
          <w:lang w:val="en-GB"/>
        </w:rPr>
        <w:lastRenderedPageBreak/>
        <w:t xml:space="preserve"> </w:t>
      </w:r>
      <w:r w:rsidR="002D562D" w:rsidRPr="00722F80">
        <w:rPr>
          <w:rFonts w:asciiTheme="majorHAnsi" w:hAnsiTheme="majorHAnsi" w:cstheme="majorHAnsi"/>
          <w:b/>
          <w:sz w:val="22"/>
          <w:szCs w:val="22"/>
          <w:lang w:val="en-GB"/>
        </w:rPr>
        <w:t xml:space="preserve">Curriculum vitae </w:t>
      </w:r>
      <w:r w:rsidR="002D562D" w:rsidRPr="00722F80">
        <w:rPr>
          <w:rFonts w:asciiTheme="majorHAnsi" w:hAnsiTheme="majorHAnsi" w:cstheme="majorHAnsi"/>
          <w:sz w:val="22"/>
          <w:szCs w:val="22"/>
          <w:lang w:val="en-GB"/>
        </w:rPr>
        <w:t>of the Tenderer,</w:t>
      </w:r>
      <w:r w:rsidR="002D562D" w:rsidRPr="00722F80">
        <w:rPr>
          <w:rFonts w:asciiTheme="majorHAnsi" w:hAnsiTheme="majorHAnsi" w:cstheme="majorHAnsi"/>
          <w:b/>
          <w:sz w:val="22"/>
          <w:szCs w:val="22"/>
          <w:lang w:val="en-GB"/>
        </w:rPr>
        <w:t xml:space="preserve"> </w:t>
      </w:r>
      <w:r w:rsidR="002D562D" w:rsidRPr="00722F80">
        <w:rPr>
          <w:rFonts w:asciiTheme="majorHAnsi" w:hAnsiTheme="majorHAnsi" w:cstheme="majorHAnsi"/>
          <w:sz w:val="22"/>
          <w:szCs w:val="22"/>
          <w:lang w:val="en-GB"/>
        </w:rPr>
        <w:t xml:space="preserve">proving </w:t>
      </w:r>
      <w:bookmarkStart w:id="4" w:name="OLE_LINK1"/>
      <w:r w:rsidR="002D562D" w:rsidRPr="00722F80">
        <w:rPr>
          <w:rFonts w:asciiTheme="majorHAnsi" w:hAnsiTheme="majorHAnsi" w:cstheme="majorHAnsi"/>
          <w:sz w:val="22"/>
          <w:szCs w:val="22"/>
          <w:lang w:val="en-GB"/>
        </w:rPr>
        <w:t>required technical and professional capacity</w:t>
      </w:r>
      <w:bookmarkEnd w:id="4"/>
      <w:r w:rsidR="002D562D" w:rsidRPr="00722F80">
        <w:rPr>
          <w:rFonts w:asciiTheme="majorHAnsi" w:hAnsiTheme="majorHAnsi" w:cstheme="majorHAnsi"/>
          <w:bCs/>
          <w:sz w:val="22"/>
          <w:szCs w:val="22"/>
          <w:lang w:val="en-GB"/>
        </w:rPr>
        <w:t>;</w:t>
      </w:r>
      <w:r w:rsidR="002D562D" w:rsidRPr="00722F80">
        <w:rPr>
          <w:rFonts w:asciiTheme="majorHAnsi" w:hAnsiTheme="majorHAnsi" w:cstheme="majorHAnsi"/>
          <w:b/>
          <w:sz w:val="22"/>
          <w:szCs w:val="22"/>
          <w:lang w:val="en-GB"/>
        </w:rPr>
        <w:t xml:space="preserve"> </w:t>
      </w:r>
    </w:p>
    <w:p w14:paraId="1F2C4825" w14:textId="779700C1" w:rsidR="002D562D" w:rsidRPr="00722F8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722F80">
        <w:rPr>
          <w:rFonts w:asciiTheme="majorHAnsi" w:hAnsiTheme="majorHAnsi" w:cstheme="majorHAnsi"/>
          <w:b/>
          <w:iCs/>
          <w:color w:val="000000"/>
          <w:sz w:val="22"/>
          <w:szCs w:val="22"/>
          <w:lang w:val="en-GB"/>
        </w:rPr>
        <w:t xml:space="preserve"> </w:t>
      </w:r>
      <w:r w:rsidR="002D562D" w:rsidRPr="00722F80">
        <w:rPr>
          <w:rFonts w:asciiTheme="majorHAnsi" w:hAnsiTheme="majorHAnsi" w:cstheme="majorHAnsi"/>
          <w:b/>
          <w:iCs/>
          <w:color w:val="000000"/>
          <w:sz w:val="22"/>
          <w:szCs w:val="22"/>
          <w:lang w:val="en-GB"/>
        </w:rPr>
        <w:t xml:space="preserve">List of projects verifying expertise </w:t>
      </w:r>
      <w:r w:rsidR="002D562D" w:rsidRPr="00722F80">
        <w:rPr>
          <w:rFonts w:asciiTheme="majorHAnsi" w:hAnsiTheme="majorHAnsi" w:cstheme="majorHAnsi"/>
          <w:b/>
          <w:iCs/>
          <w:sz w:val="22"/>
          <w:szCs w:val="22"/>
          <w:lang w:val="en-GB"/>
        </w:rPr>
        <w:t xml:space="preserve">(see </w:t>
      </w:r>
      <w:r w:rsidR="006661A7" w:rsidRPr="00722F80">
        <w:rPr>
          <w:rFonts w:asciiTheme="majorHAnsi" w:hAnsiTheme="majorHAnsi" w:cstheme="majorHAnsi"/>
          <w:b/>
          <w:iCs/>
          <w:sz w:val="22"/>
          <w:szCs w:val="22"/>
          <w:lang w:val="en-GB"/>
        </w:rPr>
        <w:t>Chapter</w:t>
      </w:r>
      <w:r w:rsidR="002D562D" w:rsidRPr="00722F80">
        <w:rPr>
          <w:rFonts w:asciiTheme="majorHAnsi" w:hAnsiTheme="majorHAnsi" w:cstheme="majorHAnsi"/>
          <w:b/>
          <w:iCs/>
          <w:sz w:val="22"/>
          <w:szCs w:val="22"/>
          <w:lang w:val="en-GB"/>
        </w:rPr>
        <w:t xml:space="preserve"> 5) of the Tenderer</w:t>
      </w:r>
      <w:r w:rsidR="002D562D" w:rsidRPr="00722F80">
        <w:rPr>
          <w:rFonts w:asciiTheme="majorHAnsi" w:hAnsiTheme="majorHAnsi" w:cstheme="majorHAnsi"/>
          <w:b/>
          <w:i/>
          <w:sz w:val="22"/>
          <w:szCs w:val="22"/>
          <w:lang w:val="en-GB"/>
        </w:rPr>
        <w:t xml:space="preserve"> </w:t>
      </w:r>
      <w:r w:rsidR="002D562D" w:rsidRPr="00722F80">
        <w:rPr>
          <w:rFonts w:asciiTheme="majorHAnsi" w:hAnsiTheme="majorHAnsi" w:cstheme="majorHAnsi"/>
          <w:bCs/>
          <w:iCs/>
          <w:sz w:val="22"/>
          <w:szCs w:val="22"/>
          <w:lang w:val="en-GB"/>
        </w:rPr>
        <w:t>(Annex 2);</w:t>
      </w:r>
    </w:p>
    <w:p w14:paraId="00D8821F" w14:textId="64A51014" w:rsidR="002D562D" w:rsidRPr="008C7028"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722F80">
        <w:rPr>
          <w:rFonts w:asciiTheme="majorHAnsi" w:hAnsiTheme="majorHAnsi" w:cstheme="majorHAnsi"/>
          <w:b/>
          <w:spacing w:val="-1"/>
          <w:sz w:val="22"/>
          <w:szCs w:val="22"/>
          <w:lang w:val="en-GB"/>
        </w:rPr>
        <w:t xml:space="preserve"> </w:t>
      </w:r>
      <w:r w:rsidR="002D562D" w:rsidRPr="00722F80">
        <w:rPr>
          <w:rFonts w:asciiTheme="majorHAnsi" w:hAnsiTheme="majorHAnsi" w:cstheme="majorHAnsi"/>
          <w:b/>
          <w:spacing w:val="-1"/>
          <w:sz w:val="22"/>
          <w:szCs w:val="22"/>
          <w:lang w:val="en-GB"/>
        </w:rPr>
        <w:t xml:space="preserve">Cost statement </w:t>
      </w:r>
      <w:r w:rsidR="002D562D" w:rsidRPr="00722F80">
        <w:rPr>
          <w:rFonts w:asciiTheme="majorHAnsi" w:hAnsiTheme="majorHAnsi" w:cstheme="majorHAnsi"/>
          <w:bCs/>
          <w:spacing w:val="-1"/>
          <w:sz w:val="22"/>
          <w:szCs w:val="22"/>
          <w:lang w:val="en-GB"/>
        </w:rPr>
        <w:t>signed and</w:t>
      </w:r>
      <w:r w:rsidR="002D562D" w:rsidRPr="00722F80">
        <w:rPr>
          <w:rFonts w:asciiTheme="majorHAnsi" w:hAnsiTheme="majorHAnsi" w:cstheme="majorHAnsi"/>
          <w:b/>
          <w:spacing w:val="-1"/>
          <w:sz w:val="22"/>
          <w:szCs w:val="22"/>
          <w:lang w:val="en-GB"/>
        </w:rPr>
        <w:t xml:space="preserve"> </w:t>
      </w:r>
      <w:r w:rsidR="002D562D" w:rsidRPr="00722F80">
        <w:rPr>
          <w:rFonts w:asciiTheme="majorHAnsi" w:hAnsiTheme="majorHAnsi" w:cstheme="majorHAnsi"/>
          <w:spacing w:val="-1"/>
          <w:sz w:val="22"/>
          <w:szCs w:val="22"/>
          <w:lang w:val="en-GB"/>
        </w:rPr>
        <w:t xml:space="preserve">filled in according to this Invitation to Tender </w:t>
      </w:r>
      <w:r w:rsidR="002D562D" w:rsidRPr="00722F80">
        <w:rPr>
          <w:rFonts w:asciiTheme="majorHAnsi" w:hAnsiTheme="majorHAnsi" w:cstheme="majorHAnsi"/>
          <w:sz w:val="22"/>
          <w:szCs w:val="22"/>
          <w:lang w:val="en-GB"/>
        </w:rPr>
        <w:t>(Annex 3)</w:t>
      </w:r>
      <w:r w:rsidR="00D235C2">
        <w:rPr>
          <w:rFonts w:asciiTheme="majorHAnsi" w:hAnsiTheme="majorHAnsi" w:cstheme="majorHAnsi"/>
          <w:sz w:val="22"/>
          <w:szCs w:val="22"/>
          <w:lang w:val="en-GB"/>
        </w:rPr>
        <w:t>.</w:t>
      </w:r>
    </w:p>
    <w:p w14:paraId="0D395812" w14:textId="50736C1A" w:rsidR="008C7028" w:rsidRPr="00D235C2" w:rsidRDefault="008C702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Pr>
          <w:rFonts w:asciiTheme="majorHAnsi" w:hAnsiTheme="majorHAnsi" w:cstheme="majorHAnsi"/>
          <w:b/>
          <w:spacing w:val="-1"/>
          <w:sz w:val="22"/>
          <w:szCs w:val="22"/>
          <w:lang w:val="en-GB"/>
        </w:rPr>
        <w:t xml:space="preserve"> Revised annotated outline of the Study </w:t>
      </w:r>
      <w:r w:rsidRPr="008C7028">
        <w:rPr>
          <w:rFonts w:asciiTheme="majorHAnsi" w:hAnsiTheme="majorHAnsi" w:cstheme="majorHAnsi"/>
          <w:bCs/>
          <w:spacing w:val="-1"/>
          <w:sz w:val="22"/>
          <w:szCs w:val="22"/>
          <w:lang w:val="en-GB"/>
        </w:rPr>
        <w:t>(Annex 4)</w:t>
      </w:r>
    </w:p>
    <w:p w14:paraId="21F2C31D" w14:textId="77777777" w:rsidR="00D235C2" w:rsidRPr="00722F80" w:rsidRDefault="00D235C2" w:rsidP="00D235C2">
      <w:pPr>
        <w:widowControl w:val="0"/>
        <w:shd w:val="clear" w:color="auto" w:fill="FFFFFF"/>
        <w:autoSpaceDE w:val="0"/>
        <w:autoSpaceDN w:val="0"/>
        <w:adjustRightInd w:val="0"/>
        <w:spacing w:before="120" w:after="120"/>
        <w:ind w:left="426"/>
        <w:rPr>
          <w:rFonts w:asciiTheme="majorHAnsi" w:hAnsiTheme="majorHAnsi" w:cstheme="majorHAnsi"/>
          <w:spacing w:val="-6"/>
          <w:sz w:val="22"/>
          <w:szCs w:val="22"/>
          <w:lang w:val="en-GB"/>
        </w:rPr>
      </w:pPr>
    </w:p>
    <w:bookmarkEnd w:id="3"/>
    <w:p w14:paraId="01E600B4" w14:textId="77777777" w:rsidR="002D562D" w:rsidRPr="00722F80"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722F80">
        <w:rPr>
          <w:rFonts w:asciiTheme="majorHAnsi" w:hAnsiTheme="majorHAnsi" w:cstheme="majorHAnsi"/>
          <w:b/>
          <w:color w:val="000000"/>
          <w:spacing w:val="-6"/>
          <w:sz w:val="22"/>
          <w:szCs w:val="22"/>
          <w:lang w:val="en-GB"/>
        </w:rPr>
        <w:t>4.2.</w:t>
      </w:r>
      <w:r w:rsidRPr="00722F80">
        <w:rPr>
          <w:rFonts w:asciiTheme="majorHAnsi" w:hAnsiTheme="majorHAnsi" w:cstheme="majorHAnsi"/>
          <w:b/>
          <w:color w:val="000000"/>
          <w:sz w:val="22"/>
          <w:szCs w:val="22"/>
          <w:lang w:val="en-GB"/>
        </w:rPr>
        <w:tab/>
      </w:r>
      <w:r w:rsidRPr="00722F80">
        <w:rPr>
          <w:rFonts w:asciiTheme="majorHAnsi" w:hAnsiTheme="majorHAnsi" w:cstheme="majorHAnsi"/>
          <w:b/>
          <w:color w:val="000000"/>
          <w:spacing w:val="-1"/>
          <w:sz w:val="22"/>
          <w:szCs w:val="22"/>
          <w:lang w:val="en-GB"/>
        </w:rPr>
        <w:t>Tender format and submission</w:t>
      </w:r>
    </w:p>
    <w:p w14:paraId="6FB59B4B" w14:textId="77777777" w:rsidR="002D562D" w:rsidRPr="00722F80" w:rsidRDefault="002D562D" w:rsidP="002D562D">
      <w:pPr>
        <w:shd w:val="clear" w:color="auto" w:fill="FFFFFF"/>
        <w:spacing w:before="120" w:after="120"/>
        <w:ind w:left="274"/>
        <w:rPr>
          <w:rFonts w:asciiTheme="majorHAnsi" w:hAnsiTheme="majorHAnsi" w:cstheme="majorHAnsi"/>
          <w:sz w:val="22"/>
          <w:szCs w:val="22"/>
          <w:lang w:val="en-GB"/>
        </w:rPr>
      </w:pPr>
      <w:r w:rsidRPr="00722F80">
        <w:rPr>
          <w:rFonts w:asciiTheme="majorHAnsi" w:hAnsiTheme="majorHAnsi" w:cstheme="majorHAnsi"/>
          <w:color w:val="000000"/>
          <w:sz w:val="22"/>
          <w:szCs w:val="22"/>
          <w:lang w:val="en-GB"/>
        </w:rPr>
        <w:t>Tender offers need to be drafted according to the requirements laid out in the Invitation to Tender.</w:t>
      </w:r>
    </w:p>
    <w:p w14:paraId="251380A7" w14:textId="5FA8E268" w:rsidR="002D562D"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5" w:name="_Hlk28382245"/>
      <w:r w:rsidRPr="00722F80">
        <w:rPr>
          <w:rFonts w:asciiTheme="majorHAnsi" w:hAnsiTheme="majorHAnsi" w:cstheme="majorHAnsi"/>
          <w:color w:val="000000"/>
          <w:spacing w:val="-1"/>
          <w:sz w:val="22"/>
          <w:szCs w:val="22"/>
          <w:lang w:val="en-GB"/>
        </w:rPr>
        <w:t xml:space="preserve">Offers shall be sent electronically </w:t>
      </w:r>
      <w:r w:rsidRPr="00722F80">
        <w:rPr>
          <w:rFonts w:asciiTheme="majorHAnsi" w:hAnsiTheme="majorHAnsi" w:cstheme="majorHAnsi"/>
          <w:sz w:val="22"/>
          <w:szCs w:val="22"/>
          <w:lang w:val="en-GB"/>
        </w:rPr>
        <w:t xml:space="preserve">to the following e-mail addresses: </w:t>
      </w:r>
      <w:hyperlink r:id="rId9" w:history="1">
        <w:r w:rsidRPr="00722F80">
          <w:rPr>
            <w:rStyle w:val="Hyperlink"/>
            <w:rFonts w:asciiTheme="majorHAnsi" w:hAnsiTheme="majorHAnsi" w:cstheme="majorHAnsi"/>
            <w:sz w:val="22"/>
            <w:szCs w:val="22"/>
            <w:lang w:val="en-GB"/>
          </w:rPr>
          <w:t>paprac@paprac.org</w:t>
        </w:r>
      </w:hyperlink>
      <w:r w:rsidRPr="00722F80">
        <w:rPr>
          <w:rFonts w:asciiTheme="majorHAnsi" w:hAnsiTheme="majorHAnsi" w:cstheme="majorHAnsi"/>
          <w:sz w:val="22"/>
          <w:szCs w:val="22"/>
          <w:lang w:val="en-GB"/>
        </w:rPr>
        <w:t xml:space="preserve"> and </w:t>
      </w:r>
      <w:hyperlink r:id="rId10" w:history="1">
        <w:r w:rsidR="005D66CC" w:rsidRPr="00722F80">
          <w:rPr>
            <w:rStyle w:val="Hyperlink"/>
            <w:rFonts w:asciiTheme="majorHAnsi" w:hAnsiTheme="majorHAnsi" w:cstheme="majorHAnsi"/>
            <w:sz w:val="22"/>
            <w:szCs w:val="22"/>
            <w:lang w:val="en-GB"/>
          </w:rPr>
          <w:t>daria.povh@paprac.org</w:t>
        </w:r>
      </w:hyperlink>
      <w:r w:rsidR="005D66CC" w:rsidRPr="00722F80">
        <w:rPr>
          <w:rFonts w:asciiTheme="majorHAnsi" w:hAnsiTheme="majorHAnsi" w:cstheme="majorHAnsi"/>
          <w:sz w:val="22"/>
          <w:szCs w:val="22"/>
          <w:lang w:val="en-GB"/>
        </w:rPr>
        <w:t xml:space="preserve"> </w:t>
      </w:r>
      <w:r w:rsidRPr="00722F80">
        <w:rPr>
          <w:rFonts w:asciiTheme="majorHAnsi" w:hAnsiTheme="majorHAnsi" w:cstheme="majorHAnsi"/>
          <w:sz w:val="22"/>
          <w:szCs w:val="22"/>
          <w:lang w:val="en-GB"/>
        </w:rPr>
        <w:t xml:space="preserve"> with “</w:t>
      </w:r>
      <w:r w:rsidR="00F84B87" w:rsidRPr="00722F80">
        <w:rPr>
          <w:rFonts w:asciiTheme="majorHAnsi" w:hAnsiTheme="majorHAnsi" w:cstheme="majorHAnsi"/>
          <w:sz w:val="22"/>
          <w:szCs w:val="22"/>
          <w:lang w:val="en-GB"/>
        </w:rPr>
        <w:t xml:space="preserve">Consultancy </w:t>
      </w:r>
      <w:r w:rsidR="00946E24">
        <w:rPr>
          <w:rFonts w:asciiTheme="majorHAnsi" w:hAnsiTheme="majorHAnsi" w:cstheme="majorHAnsi"/>
          <w:sz w:val="22"/>
          <w:szCs w:val="22"/>
          <w:lang w:val="en-GB"/>
        </w:rPr>
        <w:t>Study on risks in investing in LECZ</w:t>
      </w:r>
      <w:r w:rsidRPr="00722F80">
        <w:rPr>
          <w:rFonts w:asciiTheme="majorHAnsi" w:hAnsiTheme="majorHAnsi" w:cstheme="majorHAnsi"/>
          <w:sz w:val="22"/>
          <w:szCs w:val="22"/>
          <w:lang w:val="en-GB"/>
        </w:rPr>
        <w:t>”</w:t>
      </w:r>
      <w:r w:rsidRPr="00722F80">
        <w:rPr>
          <w:rFonts w:asciiTheme="majorHAnsi" w:hAnsiTheme="majorHAnsi" w:cstheme="majorHAnsi"/>
          <w:sz w:val="22"/>
          <w:szCs w:val="22"/>
          <w:cs/>
          <w:lang w:val="en-GB"/>
        </w:rPr>
        <w:t xml:space="preserve"> </w:t>
      </w:r>
      <w:r w:rsidRPr="00722F80">
        <w:rPr>
          <w:rFonts w:asciiTheme="majorHAnsi" w:hAnsiTheme="majorHAnsi" w:cstheme="majorHAnsi"/>
          <w:sz w:val="22"/>
          <w:szCs w:val="22"/>
          <w:lang w:val="en-GB"/>
        </w:rPr>
        <w:t>as the e-mail subject.</w:t>
      </w:r>
    </w:p>
    <w:p w14:paraId="4EB226E6" w14:textId="77777777" w:rsidR="00D235C2" w:rsidRPr="00722F80" w:rsidRDefault="00D235C2" w:rsidP="002D562D">
      <w:pPr>
        <w:shd w:val="clear" w:color="auto" w:fill="FFFFFF"/>
        <w:spacing w:before="120" w:after="120"/>
        <w:ind w:left="278" w:right="24"/>
        <w:jc w:val="both"/>
        <w:rPr>
          <w:rFonts w:asciiTheme="majorHAnsi" w:hAnsiTheme="majorHAnsi" w:cstheme="majorHAnsi"/>
          <w:sz w:val="22"/>
          <w:szCs w:val="22"/>
          <w:lang w:val="en-GB"/>
        </w:rPr>
      </w:pPr>
    </w:p>
    <w:bookmarkEnd w:id="5"/>
    <w:p w14:paraId="783B44EE" w14:textId="77777777" w:rsidR="002D562D" w:rsidRPr="00722F80"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722F80">
        <w:rPr>
          <w:rFonts w:asciiTheme="majorHAnsi" w:hAnsiTheme="majorHAnsi" w:cstheme="majorHAnsi"/>
          <w:b/>
          <w:color w:val="000000"/>
          <w:spacing w:val="-6"/>
          <w:sz w:val="22"/>
          <w:szCs w:val="22"/>
          <w:lang w:val="en-GB"/>
        </w:rPr>
        <w:t>4.3.</w:t>
      </w:r>
      <w:r w:rsidRPr="00722F80">
        <w:rPr>
          <w:rFonts w:asciiTheme="majorHAnsi" w:hAnsiTheme="majorHAnsi" w:cstheme="majorHAnsi"/>
          <w:b/>
          <w:color w:val="000000"/>
          <w:sz w:val="22"/>
          <w:szCs w:val="22"/>
          <w:lang w:val="en-GB"/>
        </w:rPr>
        <w:tab/>
        <w:t>Date, time and place of tender submission</w:t>
      </w:r>
    </w:p>
    <w:p w14:paraId="14D05C7E" w14:textId="111D00E2" w:rsidR="002D562D" w:rsidRPr="00722F80" w:rsidRDefault="002D562D" w:rsidP="002D562D">
      <w:pPr>
        <w:shd w:val="clear" w:color="auto" w:fill="FFFFFF"/>
        <w:spacing w:before="120" w:after="120"/>
        <w:ind w:left="278" w:right="14"/>
        <w:jc w:val="both"/>
        <w:rPr>
          <w:rFonts w:asciiTheme="majorHAnsi" w:hAnsiTheme="majorHAnsi" w:cstheme="majorHAnsi"/>
          <w:sz w:val="22"/>
          <w:szCs w:val="22"/>
          <w:lang w:val="en-GB"/>
        </w:rPr>
      </w:pPr>
      <w:r w:rsidRPr="00722F80">
        <w:rPr>
          <w:rFonts w:asciiTheme="majorHAnsi" w:hAnsiTheme="majorHAnsi" w:cstheme="majorHAnsi"/>
          <w:sz w:val="22"/>
          <w:szCs w:val="22"/>
          <w:lang w:val="en-GB"/>
        </w:rPr>
        <w:t xml:space="preserve">Tender offers must be received </w:t>
      </w:r>
      <w:r w:rsidRPr="00722F80">
        <w:rPr>
          <w:rFonts w:asciiTheme="majorHAnsi" w:hAnsiTheme="majorHAnsi" w:cstheme="majorHAnsi"/>
          <w:b/>
          <w:sz w:val="22"/>
          <w:szCs w:val="22"/>
          <w:lang w:val="en-GB"/>
        </w:rPr>
        <w:t xml:space="preserve">by </w:t>
      </w:r>
      <w:r w:rsidR="003C1ABB">
        <w:rPr>
          <w:rFonts w:asciiTheme="majorHAnsi" w:hAnsiTheme="majorHAnsi" w:cstheme="majorHAnsi"/>
          <w:b/>
          <w:sz w:val="22"/>
          <w:szCs w:val="22"/>
          <w:lang w:val="en-GB"/>
        </w:rPr>
        <w:t xml:space="preserve">December </w:t>
      </w:r>
      <w:r w:rsidR="000016E0">
        <w:rPr>
          <w:rFonts w:asciiTheme="majorHAnsi" w:hAnsiTheme="majorHAnsi" w:cstheme="majorHAnsi"/>
          <w:b/>
          <w:sz w:val="22"/>
          <w:szCs w:val="22"/>
          <w:lang w:val="en-GB"/>
        </w:rPr>
        <w:t>12</w:t>
      </w:r>
      <w:r w:rsidR="003C1ABB">
        <w:rPr>
          <w:rFonts w:asciiTheme="majorHAnsi" w:hAnsiTheme="majorHAnsi" w:cstheme="majorHAnsi"/>
          <w:b/>
          <w:sz w:val="22"/>
          <w:szCs w:val="22"/>
          <w:lang w:val="en-GB"/>
        </w:rPr>
        <w:t>th</w:t>
      </w:r>
      <w:r w:rsidR="006661A7" w:rsidRPr="00722F80">
        <w:rPr>
          <w:rFonts w:asciiTheme="majorHAnsi" w:hAnsiTheme="majorHAnsi" w:cstheme="majorHAnsi"/>
          <w:b/>
          <w:sz w:val="22"/>
          <w:szCs w:val="22"/>
          <w:lang w:val="en-GB"/>
        </w:rPr>
        <w:t xml:space="preserve"> </w:t>
      </w:r>
      <w:r w:rsidRPr="00722F80">
        <w:rPr>
          <w:rFonts w:asciiTheme="majorHAnsi" w:hAnsiTheme="majorHAnsi" w:cstheme="majorHAnsi"/>
          <w:b/>
          <w:sz w:val="22"/>
          <w:szCs w:val="22"/>
          <w:lang w:val="en-GB"/>
        </w:rPr>
        <w:t>202</w:t>
      </w:r>
      <w:r w:rsidR="003C1ABB">
        <w:rPr>
          <w:rFonts w:asciiTheme="majorHAnsi" w:hAnsiTheme="majorHAnsi" w:cstheme="majorHAnsi"/>
          <w:b/>
          <w:sz w:val="22"/>
          <w:szCs w:val="22"/>
          <w:lang w:val="en-GB"/>
        </w:rPr>
        <w:t>3</w:t>
      </w:r>
      <w:r w:rsidRPr="00722F80">
        <w:rPr>
          <w:rFonts w:asciiTheme="majorHAnsi" w:hAnsiTheme="majorHAnsi" w:cstheme="majorHAnsi"/>
          <w:b/>
          <w:sz w:val="22"/>
          <w:szCs w:val="22"/>
          <w:lang w:val="en-GB"/>
        </w:rPr>
        <w:t xml:space="preserve">, </w:t>
      </w:r>
      <w:r w:rsidR="00BF1EB8" w:rsidRPr="00722F80">
        <w:rPr>
          <w:rFonts w:asciiTheme="majorHAnsi" w:hAnsiTheme="majorHAnsi" w:cstheme="majorHAnsi"/>
          <w:b/>
          <w:sz w:val="22"/>
          <w:szCs w:val="22"/>
          <w:lang w:val="en-GB"/>
        </w:rPr>
        <w:t>1 pm CET.</w:t>
      </w:r>
    </w:p>
    <w:p w14:paraId="18791555" w14:textId="0810737D" w:rsidR="002D562D"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722F80">
        <w:rPr>
          <w:rFonts w:asciiTheme="majorHAnsi" w:hAnsiTheme="majorHAnsi" w:cstheme="majorHAnsi"/>
          <w:color w:val="000000"/>
          <w:spacing w:val="1"/>
          <w:sz w:val="22"/>
          <w:szCs w:val="22"/>
          <w:lang w:val="en-GB"/>
        </w:rPr>
        <w:t xml:space="preserve">All offers received after the bid opening deadline will be </w:t>
      </w:r>
      <w:r w:rsidRPr="00722F80">
        <w:rPr>
          <w:rFonts w:asciiTheme="majorHAnsi" w:hAnsiTheme="majorHAnsi" w:cstheme="majorHAnsi"/>
          <w:color w:val="000000"/>
          <w:spacing w:val="2"/>
          <w:sz w:val="22"/>
          <w:szCs w:val="22"/>
          <w:lang w:val="en-GB"/>
        </w:rPr>
        <w:t xml:space="preserve">marked as late and excluded from the procedure. </w:t>
      </w:r>
    </w:p>
    <w:p w14:paraId="78342342" w14:textId="4876F667" w:rsidR="002D562D" w:rsidRPr="007773F0" w:rsidRDefault="002D562D" w:rsidP="007773F0">
      <w:pPr>
        <w:pStyle w:val="ListParagraph"/>
        <w:numPr>
          <w:ilvl w:val="1"/>
          <w:numId w:val="37"/>
        </w:numPr>
        <w:shd w:val="clear" w:color="auto" w:fill="FFFFFF"/>
        <w:spacing w:before="120" w:after="120" w:line="276" w:lineRule="auto"/>
        <w:jc w:val="both"/>
        <w:rPr>
          <w:rFonts w:asciiTheme="majorHAnsi" w:hAnsiTheme="majorHAnsi" w:cstheme="majorHAnsi"/>
          <w:b/>
          <w:bCs/>
          <w:color w:val="000000"/>
          <w:spacing w:val="-6"/>
          <w:sz w:val="22"/>
          <w:szCs w:val="22"/>
          <w:lang w:val="en-GB"/>
        </w:rPr>
      </w:pPr>
      <w:r w:rsidRPr="007773F0">
        <w:rPr>
          <w:rFonts w:asciiTheme="majorHAnsi" w:hAnsiTheme="majorHAnsi" w:cstheme="majorHAnsi"/>
          <w:b/>
          <w:sz w:val="22"/>
          <w:szCs w:val="22"/>
          <w:lang w:val="en-GB"/>
        </w:rPr>
        <w:t>The Tenderer may amend or withdraw his Tender before the Tender submission deadline.</w:t>
      </w:r>
      <w:r w:rsidRPr="007773F0">
        <w:rPr>
          <w:rFonts w:asciiTheme="majorHAnsi" w:hAnsiTheme="majorHAnsi" w:cstheme="majorHAnsi"/>
          <w:b/>
          <w:color w:val="000000"/>
          <w:spacing w:val="3"/>
          <w:sz w:val="22"/>
          <w:szCs w:val="22"/>
          <w:lang w:val="en-GB"/>
        </w:rPr>
        <w:t xml:space="preserve"> </w:t>
      </w:r>
      <w:r w:rsidRPr="007773F0">
        <w:rPr>
          <w:rFonts w:asciiTheme="majorHAnsi" w:hAnsiTheme="majorHAnsi" w:cstheme="majorHAnsi"/>
          <w:color w:val="000000"/>
          <w:spacing w:val="3"/>
          <w:sz w:val="22"/>
          <w:szCs w:val="22"/>
          <w:lang w:val="en-GB"/>
        </w:rPr>
        <w:t xml:space="preserve">The amended Tender shall be submitted in the same manner as the original </w:t>
      </w:r>
      <w:r w:rsidRPr="007773F0">
        <w:rPr>
          <w:rFonts w:asciiTheme="majorHAnsi" w:hAnsiTheme="majorHAnsi" w:cstheme="majorHAnsi"/>
          <w:color w:val="000000"/>
          <w:spacing w:val="-2"/>
          <w:sz w:val="22"/>
          <w:szCs w:val="22"/>
          <w:lang w:val="en-GB"/>
        </w:rPr>
        <w:t xml:space="preserve">and clearly marked as amended. The Tenderer </w:t>
      </w:r>
      <w:r w:rsidRPr="007773F0">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7773F0">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7773F0">
        <w:rPr>
          <w:rFonts w:asciiTheme="majorHAnsi" w:hAnsiTheme="majorHAnsi" w:cstheme="majorHAnsi"/>
          <w:color w:val="000000"/>
          <w:sz w:val="22"/>
          <w:szCs w:val="22"/>
          <w:lang w:val="en-GB"/>
        </w:rPr>
        <w:t>as a statement of Tender withdrawal. Alternative Tenders are not permitted.</w:t>
      </w:r>
    </w:p>
    <w:p w14:paraId="0339A2D3" w14:textId="2E270F20" w:rsidR="002D562D" w:rsidRPr="00D235C2" w:rsidRDefault="00D235C2" w:rsidP="00D235C2">
      <w:pPr>
        <w:widowControl w:val="0"/>
        <w:autoSpaceDE w:val="0"/>
        <w:autoSpaceDN w:val="0"/>
        <w:adjustRightInd w:val="0"/>
        <w:rPr>
          <w:rFonts w:asciiTheme="majorHAnsi" w:hAnsiTheme="majorHAnsi" w:cstheme="majorHAnsi"/>
          <w:spacing w:val="-1"/>
          <w:sz w:val="22"/>
          <w:szCs w:val="22"/>
          <w:lang w:val="en-GB"/>
        </w:rPr>
      </w:pPr>
      <w:r>
        <w:rPr>
          <w:rFonts w:asciiTheme="majorHAnsi" w:hAnsiTheme="majorHAnsi" w:cstheme="majorHAnsi"/>
          <w:b/>
          <w:color w:val="000000"/>
          <w:spacing w:val="-6"/>
          <w:sz w:val="22"/>
          <w:szCs w:val="22"/>
          <w:lang w:val="en-GB"/>
        </w:rPr>
        <w:t xml:space="preserve">4.5. </w:t>
      </w:r>
      <w:r w:rsidR="002D562D" w:rsidRPr="00D235C2">
        <w:rPr>
          <w:rFonts w:asciiTheme="majorHAnsi" w:hAnsiTheme="majorHAnsi" w:cstheme="majorHAnsi"/>
          <w:b/>
          <w:color w:val="000000"/>
          <w:spacing w:val="-6"/>
          <w:sz w:val="22"/>
          <w:szCs w:val="22"/>
          <w:lang w:val="en-GB"/>
        </w:rPr>
        <w:t>Tender currency:</w:t>
      </w:r>
      <w:r w:rsidR="002D562D" w:rsidRPr="00D235C2">
        <w:rPr>
          <w:rFonts w:asciiTheme="majorHAnsi" w:hAnsiTheme="majorHAnsi" w:cstheme="majorHAnsi"/>
          <w:b/>
          <w:color w:val="000000"/>
          <w:sz w:val="22"/>
          <w:szCs w:val="22"/>
          <w:lang w:val="en-GB"/>
        </w:rPr>
        <w:t xml:space="preserve"> </w:t>
      </w:r>
      <w:r w:rsidR="002D562D" w:rsidRPr="00D235C2">
        <w:rPr>
          <w:rFonts w:asciiTheme="majorHAnsi" w:hAnsiTheme="majorHAnsi" w:cstheme="majorHAnsi"/>
          <w:spacing w:val="-1"/>
          <w:sz w:val="22"/>
          <w:szCs w:val="22"/>
          <w:lang w:val="en-GB"/>
        </w:rPr>
        <w:t>US dollars</w:t>
      </w:r>
      <w:r w:rsidR="005C2869" w:rsidRPr="00D235C2">
        <w:rPr>
          <w:rFonts w:asciiTheme="majorHAnsi" w:hAnsiTheme="majorHAnsi" w:cstheme="majorHAnsi"/>
          <w:spacing w:val="-1"/>
          <w:sz w:val="22"/>
          <w:szCs w:val="22"/>
          <w:lang w:val="en-GB"/>
        </w:rPr>
        <w:t xml:space="preserve"> (USD)</w:t>
      </w:r>
      <w:r w:rsidR="002D562D" w:rsidRPr="00D235C2">
        <w:rPr>
          <w:rFonts w:asciiTheme="majorHAnsi" w:hAnsiTheme="majorHAnsi" w:cstheme="majorHAnsi"/>
          <w:spacing w:val="-1"/>
          <w:sz w:val="22"/>
          <w:szCs w:val="22"/>
          <w:lang w:val="en-GB"/>
        </w:rPr>
        <w:t xml:space="preserve">. </w:t>
      </w:r>
    </w:p>
    <w:p w14:paraId="4FBD253A" w14:textId="77777777" w:rsidR="00D235C2" w:rsidRPr="00D235C2" w:rsidRDefault="00D235C2" w:rsidP="00D23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D235C2">
        <w:rPr>
          <w:rFonts w:asciiTheme="majorHAnsi" w:hAnsiTheme="majorHAnsi" w:cstheme="majorHAnsi"/>
          <w:color w:val="000000"/>
          <w:spacing w:val="3"/>
          <w:sz w:val="22"/>
          <w:szCs w:val="22"/>
          <w:lang w:val="en-GB"/>
        </w:rPr>
        <w:t>The Contractor shall express the price in USD, and the payment will be made in USD. However, payment can be made in other currency using the exchange rate of conversion of the Client’s bank (</w:t>
      </w:r>
      <w:hyperlink r:id="rId11" w:history="1">
        <w:r w:rsidRPr="00D235C2">
          <w:rPr>
            <w:rFonts w:asciiTheme="majorHAnsi" w:hAnsiTheme="majorHAnsi" w:cstheme="majorHAnsi"/>
            <w:spacing w:val="3"/>
            <w:sz w:val="22"/>
            <w:szCs w:val="22"/>
            <w:lang w:val="en-GB"/>
          </w:rPr>
          <w:t>OTP bank</w:t>
        </w:r>
      </w:hyperlink>
      <w:r w:rsidRPr="00D235C2">
        <w:rPr>
          <w:rFonts w:asciiTheme="majorHAnsi" w:hAnsiTheme="majorHAnsi" w:cstheme="majorHAnsi"/>
          <w:color w:val="000000"/>
          <w:spacing w:val="3"/>
          <w:sz w:val="22"/>
          <w:szCs w:val="22"/>
          <w:lang w:val="en-GB"/>
        </w:rPr>
        <w:t>), valid on the date of the payment.</w:t>
      </w:r>
    </w:p>
    <w:p w14:paraId="264A1490" w14:textId="77777777" w:rsidR="00D235C2" w:rsidRPr="00D235C2" w:rsidRDefault="00D235C2" w:rsidP="00D23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D235C2">
        <w:rPr>
          <w:rFonts w:asciiTheme="majorHAnsi" w:hAnsiTheme="majorHAnsi" w:cstheme="majorHAnsi"/>
          <w:color w:val="000000"/>
          <w:spacing w:val="3"/>
          <w:sz w:val="22"/>
          <w:szCs w:val="22"/>
          <w:lang w:val="en-GB"/>
        </w:rPr>
        <w:t>No price variation due to escalation, inflation, fluctuation in exchange rates, or any other market factors shall be accepted by PAP/RAC after it has received the Proposal.</w:t>
      </w:r>
    </w:p>
    <w:p w14:paraId="03036AB7" w14:textId="574AB7A6" w:rsidR="002D562D" w:rsidRPr="007773F0"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7773F0">
        <w:rPr>
          <w:rFonts w:asciiTheme="majorHAnsi" w:hAnsiTheme="majorHAnsi" w:cstheme="majorHAnsi"/>
          <w:b/>
          <w:sz w:val="22"/>
          <w:szCs w:val="22"/>
          <w:lang w:val="en-GB"/>
        </w:rPr>
        <w:t xml:space="preserve">Language and script: </w:t>
      </w:r>
      <w:r w:rsidRPr="007773F0">
        <w:rPr>
          <w:rFonts w:asciiTheme="majorHAnsi" w:hAnsiTheme="majorHAnsi" w:cstheme="majorHAnsi"/>
          <w:sz w:val="22"/>
          <w:szCs w:val="22"/>
          <w:lang w:val="en-GB"/>
        </w:rPr>
        <w:t xml:space="preserve">The Tender shall be drafted in </w:t>
      </w:r>
      <w:r w:rsidR="007629B3" w:rsidRPr="007773F0">
        <w:rPr>
          <w:rFonts w:asciiTheme="majorHAnsi" w:hAnsiTheme="majorHAnsi" w:cstheme="majorHAnsi"/>
          <w:sz w:val="22"/>
          <w:szCs w:val="22"/>
          <w:lang w:val="en-GB"/>
        </w:rPr>
        <w:t>English</w:t>
      </w:r>
      <w:r w:rsidRPr="007773F0">
        <w:rPr>
          <w:rFonts w:asciiTheme="majorHAnsi" w:hAnsiTheme="majorHAnsi" w:cstheme="majorHAnsi"/>
          <w:sz w:val="22"/>
          <w:szCs w:val="22"/>
          <w:lang w:val="en-GB"/>
        </w:rPr>
        <w:t xml:space="preserve"> language, using the Latin script.</w:t>
      </w:r>
    </w:p>
    <w:p w14:paraId="3521A913" w14:textId="77777777" w:rsidR="002D562D" w:rsidRPr="007773F0"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7773F0">
        <w:rPr>
          <w:rFonts w:asciiTheme="majorHAnsi" w:hAnsiTheme="majorHAnsi" w:cstheme="majorHAnsi"/>
          <w:b/>
          <w:sz w:val="22"/>
          <w:szCs w:val="22"/>
          <w:lang w:val="en-GB"/>
        </w:rPr>
        <w:t xml:space="preserve">Period of validity: </w:t>
      </w:r>
      <w:r w:rsidRPr="007773F0">
        <w:rPr>
          <w:rFonts w:asciiTheme="majorHAnsi" w:hAnsiTheme="majorHAnsi" w:cstheme="majorHAnsi"/>
          <w:sz w:val="22"/>
          <w:szCs w:val="22"/>
          <w:lang w:val="en-GB"/>
        </w:rPr>
        <w:t>15 days from the tender</w:t>
      </w:r>
      <w:r w:rsidRPr="007773F0">
        <w:rPr>
          <w:rFonts w:asciiTheme="majorHAnsi" w:hAnsiTheme="majorHAnsi" w:cstheme="majorHAnsi"/>
          <w:color w:val="000000"/>
          <w:sz w:val="22"/>
          <w:szCs w:val="22"/>
          <w:lang w:val="en-GB"/>
        </w:rPr>
        <w:t xml:space="preserve"> submission deadline.</w:t>
      </w:r>
    </w:p>
    <w:p w14:paraId="67601964" w14:textId="77777777" w:rsidR="002D562D" w:rsidRPr="007773F0" w:rsidRDefault="002D562D" w:rsidP="0036041F">
      <w:pPr>
        <w:widowControl w:val="0"/>
        <w:numPr>
          <w:ilvl w:val="1"/>
          <w:numId w:val="20"/>
        </w:numPr>
        <w:tabs>
          <w:tab w:val="left" w:pos="538"/>
        </w:tabs>
        <w:autoSpaceDE w:val="0"/>
        <w:autoSpaceDN w:val="0"/>
        <w:adjustRightInd w:val="0"/>
        <w:spacing w:before="120" w:after="120"/>
        <w:ind w:left="357" w:hanging="357"/>
        <w:rPr>
          <w:rFonts w:asciiTheme="majorHAnsi" w:hAnsiTheme="majorHAnsi" w:cstheme="majorHAnsi"/>
          <w:sz w:val="22"/>
          <w:szCs w:val="22"/>
          <w:lang w:val="en-GB"/>
        </w:rPr>
      </w:pPr>
      <w:r w:rsidRPr="007773F0">
        <w:rPr>
          <w:rFonts w:asciiTheme="majorHAnsi" w:hAnsiTheme="majorHAnsi" w:cstheme="majorHAnsi"/>
          <w:b/>
          <w:color w:val="000000"/>
          <w:sz w:val="22"/>
          <w:szCs w:val="22"/>
          <w:lang w:val="en-GB"/>
        </w:rPr>
        <w:t>Price setting method</w:t>
      </w:r>
    </w:p>
    <w:p w14:paraId="7A06B50E" w14:textId="77777777" w:rsidR="007773F0" w:rsidRPr="007773F0" w:rsidRDefault="007773F0" w:rsidP="0077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spacing w:val="3"/>
          <w:sz w:val="22"/>
          <w:lang w:val="en-GB"/>
        </w:rPr>
      </w:pPr>
      <w:bookmarkStart w:id="6" w:name="_Hlk28382783"/>
      <w:r w:rsidRPr="007773F0">
        <w:rPr>
          <w:rFonts w:asciiTheme="majorHAnsi" w:hAnsiTheme="majorHAnsi" w:cstheme="majorHAnsi"/>
          <w:spacing w:val="3"/>
          <w:sz w:val="22"/>
          <w:lang w:val="en-GB"/>
        </w:rPr>
        <w:t>The Tender price shall be expressed in USD and written in numbers. The tender price cannot be altered.</w:t>
      </w:r>
    </w:p>
    <w:p w14:paraId="6E5CD6D7" w14:textId="77777777" w:rsidR="007773F0" w:rsidRPr="007773F0" w:rsidRDefault="007773F0" w:rsidP="0077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7773F0">
        <w:rPr>
          <w:rFonts w:asciiTheme="majorHAnsi" w:hAnsiTheme="majorHAnsi" w:cstheme="majorHAnsi"/>
          <w:color w:val="000000"/>
          <w:spacing w:val="3"/>
          <w:sz w:val="22"/>
          <w:szCs w:val="22"/>
          <w:lang w:val="en-GB"/>
        </w:rPr>
        <w:t>The tender price consists of pre-VAT price, VAT and total price.</w:t>
      </w:r>
    </w:p>
    <w:p w14:paraId="7AAAE093" w14:textId="338616BF" w:rsidR="007773F0" w:rsidRPr="007773F0" w:rsidRDefault="007773F0" w:rsidP="0077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7773F0">
        <w:rPr>
          <w:rFonts w:asciiTheme="majorHAnsi" w:hAnsiTheme="majorHAnsi" w:cstheme="majorHAnsi"/>
          <w:color w:val="000000"/>
          <w:spacing w:val="3"/>
          <w:sz w:val="22"/>
          <w:szCs w:val="22"/>
          <w:lang w:val="en-GB"/>
        </w:rPr>
        <w:t>-</w:t>
      </w:r>
      <w:r>
        <w:rPr>
          <w:rFonts w:asciiTheme="majorHAnsi" w:hAnsiTheme="majorHAnsi" w:cstheme="majorHAnsi"/>
          <w:color w:val="000000"/>
          <w:spacing w:val="3"/>
          <w:sz w:val="22"/>
          <w:szCs w:val="22"/>
          <w:lang w:val="en-GB"/>
        </w:rPr>
        <w:t xml:space="preserve"> </w:t>
      </w:r>
      <w:r w:rsidRPr="007773F0">
        <w:rPr>
          <w:rFonts w:asciiTheme="majorHAnsi" w:hAnsiTheme="majorHAnsi" w:cstheme="majorHAnsi"/>
          <w:b/>
          <w:bCs/>
          <w:color w:val="000000"/>
          <w:spacing w:val="3"/>
          <w:sz w:val="22"/>
          <w:szCs w:val="22"/>
          <w:lang w:val="en-GB"/>
        </w:rPr>
        <w:t>Pre-VAT</w:t>
      </w:r>
      <w:r w:rsidRPr="007773F0">
        <w:rPr>
          <w:rFonts w:asciiTheme="majorHAnsi" w:hAnsiTheme="majorHAnsi" w:cstheme="majorHAnsi"/>
          <w:color w:val="000000"/>
          <w:spacing w:val="3"/>
          <w:sz w:val="22"/>
          <w:szCs w:val="22"/>
          <w:lang w:val="en-GB"/>
        </w:rPr>
        <w:t xml:space="preserve"> price includes all costs related to the performance of the services. For natural persons</w:t>
      </w:r>
      <w:r>
        <w:rPr>
          <w:rFonts w:asciiTheme="majorHAnsi" w:hAnsiTheme="majorHAnsi" w:cstheme="majorHAnsi"/>
          <w:color w:val="000000"/>
          <w:spacing w:val="3"/>
          <w:sz w:val="22"/>
          <w:szCs w:val="22"/>
          <w:lang w:val="en-GB"/>
        </w:rPr>
        <w:t>,</w:t>
      </w:r>
      <w:r w:rsidRPr="007773F0">
        <w:rPr>
          <w:rFonts w:asciiTheme="majorHAnsi" w:hAnsiTheme="majorHAnsi" w:cstheme="majorHAnsi"/>
          <w:color w:val="000000"/>
          <w:spacing w:val="3"/>
          <w:sz w:val="22"/>
          <w:szCs w:val="22"/>
          <w:lang w:val="en-GB"/>
        </w:rPr>
        <w:t xml:space="preserve"> it includes all relevant taxes and contributions in accordance with Croatian legislation.</w:t>
      </w:r>
    </w:p>
    <w:p w14:paraId="08766BF4" w14:textId="7B002EC3" w:rsidR="007773F0" w:rsidRPr="007773F0" w:rsidRDefault="007773F0" w:rsidP="0077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7773F0">
        <w:rPr>
          <w:rFonts w:asciiTheme="majorHAnsi" w:hAnsiTheme="majorHAnsi" w:cstheme="majorHAnsi"/>
          <w:color w:val="000000"/>
          <w:spacing w:val="3"/>
          <w:sz w:val="22"/>
          <w:szCs w:val="22"/>
          <w:lang w:val="en-GB"/>
        </w:rPr>
        <w:t>-</w:t>
      </w:r>
      <w:r>
        <w:rPr>
          <w:rFonts w:asciiTheme="majorHAnsi" w:hAnsiTheme="majorHAnsi" w:cstheme="majorHAnsi"/>
          <w:color w:val="000000"/>
          <w:spacing w:val="3"/>
          <w:sz w:val="22"/>
          <w:szCs w:val="22"/>
          <w:lang w:val="en-GB"/>
        </w:rPr>
        <w:t xml:space="preserve"> </w:t>
      </w:r>
      <w:r w:rsidRPr="007773F0">
        <w:rPr>
          <w:rFonts w:asciiTheme="majorHAnsi" w:hAnsiTheme="majorHAnsi" w:cstheme="majorHAnsi"/>
          <w:b/>
          <w:bCs/>
          <w:color w:val="000000"/>
          <w:spacing w:val="3"/>
          <w:sz w:val="22"/>
          <w:szCs w:val="22"/>
          <w:lang w:val="en-GB"/>
        </w:rPr>
        <w:t>VAT</w:t>
      </w:r>
      <w:r w:rsidRPr="007773F0">
        <w:rPr>
          <w:rFonts w:asciiTheme="majorHAnsi" w:hAnsiTheme="majorHAnsi" w:cstheme="majorHAnsi"/>
          <w:color w:val="000000"/>
          <w:spacing w:val="3"/>
          <w:sz w:val="22"/>
          <w:szCs w:val="22"/>
          <w:lang w:val="en-GB"/>
        </w:rPr>
        <w:t xml:space="preserve"> needs to be indicated. </w:t>
      </w:r>
    </w:p>
    <w:p w14:paraId="42182F8E" w14:textId="2710905D" w:rsidR="007773F0" w:rsidRPr="007773F0" w:rsidRDefault="007773F0" w:rsidP="007773F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7773F0">
        <w:rPr>
          <w:rFonts w:asciiTheme="majorHAnsi" w:hAnsiTheme="majorHAnsi" w:cstheme="majorHAnsi"/>
          <w:color w:val="000000"/>
          <w:spacing w:val="3"/>
          <w:sz w:val="22"/>
          <w:szCs w:val="22"/>
          <w:lang w:val="en-GB"/>
        </w:rPr>
        <w:t xml:space="preserve">Tenderers </w:t>
      </w:r>
      <w:r w:rsidRPr="007773F0">
        <w:rPr>
          <w:rFonts w:asciiTheme="majorHAnsi" w:hAnsiTheme="majorHAnsi" w:cstheme="majorHAnsi"/>
          <w:b/>
          <w:bCs/>
          <w:color w:val="000000"/>
          <w:spacing w:val="3"/>
          <w:sz w:val="22"/>
          <w:szCs w:val="22"/>
          <w:lang w:val="en-GB"/>
        </w:rPr>
        <w:t>registered in Croatia</w:t>
      </w:r>
      <w:r w:rsidRPr="007773F0">
        <w:rPr>
          <w:rFonts w:asciiTheme="majorHAnsi" w:hAnsiTheme="majorHAnsi" w:cstheme="majorHAnsi"/>
          <w:color w:val="000000"/>
          <w:spacing w:val="3"/>
          <w:sz w:val="22"/>
          <w:szCs w:val="22"/>
          <w:lang w:val="en-GB"/>
        </w:rPr>
        <w:t xml:space="preserve"> express VAT: 0% if they are not in </w:t>
      </w:r>
      <w:r>
        <w:rPr>
          <w:rFonts w:asciiTheme="majorHAnsi" w:hAnsiTheme="majorHAnsi" w:cstheme="majorHAnsi"/>
          <w:color w:val="000000"/>
          <w:spacing w:val="3"/>
          <w:sz w:val="22"/>
          <w:szCs w:val="22"/>
          <w:lang w:val="en-GB"/>
        </w:rPr>
        <w:t xml:space="preserve">the </w:t>
      </w:r>
      <w:r w:rsidRPr="007773F0">
        <w:rPr>
          <w:rFonts w:asciiTheme="majorHAnsi" w:hAnsiTheme="majorHAnsi" w:cstheme="majorHAnsi"/>
          <w:color w:val="000000"/>
          <w:spacing w:val="3"/>
          <w:sz w:val="22"/>
          <w:szCs w:val="22"/>
          <w:lang w:val="en-GB"/>
        </w:rPr>
        <w:t xml:space="preserve">VAT system and 25% if they are in </w:t>
      </w:r>
      <w:r>
        <w:rPr>
          <w:rFonts w:asciiTheme="majorHAnsi" w:hAnsiTheme="majorHAnsi" w:cstheme="majorHAnsi"/>
          <w:color w:val="000000"/>
          <w:spacing w:val="3"/>
          <w:sz w:val="22"/>
          <w:szCs w:val="22"/>
          <w:lang w:val="en-GB"/>
        </w:rPr>
        <w:t xml:space="preserve">the </w:t>
      </w:r>
      <w:r w:rsidRPr="007773F0">
        <w:rPr>
          <w:rFonts w:asciiTheme="majorHAnsi" w:hAnsiTheme="majorHAnsi" w:cstheme="majorHAnsi"/>
          <w:color w:val="000000"/>
          <w:spacing w:val="3"/>
          <w:sz w:val="22"/>
          <w:szCs w:val="22"/>
          <w:lang w:val="en-GB"/>
        </w:rPr>
        <w:t xml:space="preserve">VAT system. </w:t>
      </w:r>
    </w:p>
    <w:p w14:paraId="34E5321A" w14:textId="749C30FF" w:rsidR="007773F0" w:rsidRPr="007773F0" w:rsidRDefault="007773F0" w:rsidP="007773F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7773F0">
        <w:rPr>
          <w:rFonts w:asciiTheme="majorHAnsi" w:hAnsiTheme="majorHAnsi" w:cstheme="majorHAnsi"/>
          <w:color w:val="000000"/>
          <w:spacing w:val="3"/>
          <w:sz w:val="22"/>
          <w:szCs w:val="22"/>
          <w:lang w:val="en-GB"/>
        </w:rPr>
        <w:t xml:space="preserve">Tenderers </w:t>
      </w:r>
      <w:r w:rsidRPr="007773F0">
        <w:rPr>
          <w:rFonts w:asciiTheme="majorHAnsi" w:hAnsiTheme="majorHAnsi" w:cstheme="majorHAnsi"/>
          <w:b/>
          <w:bCs/>
          <w:color w:val="000000"/>
          <w:spacing w:val="3"/>
          <w:sz w:val="22"/>
          <w:szCs w:val="22"/>
          <w:lang w:val="en-GB"/>
        </w:rPr>
        <w:t>outside Croatia</w:t>
      </w:r>
      <w:r w:rsidRPr="007773F0">
        <w:rPr>
          <w:rFonts w:asciiTheme="majorHAnsi" w:hAnsiTheme="majorHAnsi" w:cstheme="majorHAnsi"/>
          <w:color w:val="000000"/>
          <w:spacing w:val="3"/>
          <w:sz w:val="22"/>
          <w:szCs w:val="22"/>
          <w:lang w:val="en-GB"/>
        </w:rPr>
        <w:t xml:space="preserve"> (natural persons and companies, in or out of </w:t>
      </w:r>
      <w:r>
        <w:rPr>
          <w:rFonts w:asciiTheme="majorHAnsi" w:hAnsiTheme="majorHAnsi" w:cstheme="majorHAnsi"/>
          <w:color w:val="000000"/>
          <w:spacing w:val="3"/>
          <w:sz w:val="22"/>
          <w:szCs w:val="22"/>
          <w:lang w:val="en-GB"/>
        </w:rPr>
        <w:t xml:space="preserve">the </w:t>
      </w:r>
      <w:r w:rsidRPr="007773F0">
        <w:rPr>
          <w:rFonts w:asciiTheme="majorHAnsi" w:hAnsiTheme="majorHAnsi" w:cstheme="majorHAnsi"/>
          <w:color w:val="000000"/>
          <w:spacing w:val="3"/>
          <w:sz w:val="22"/>
          <w:szCs w:val="22"/>
          <w:lang w:val="en-GB"/>
        </w:rPr>
        <w:t>VAT system) do not express VAT but indicate “reverse charge” (see also Annex 3).</w:t>
      </w:r>
    </w:p>
    <w:p w14:paraId="57BFEF47" w14:textId="77777777" w:rsidR="007773F0" w:rsidRPr="007773F0" w:rsidRDefault="007773F0" w:rsidP="0077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7773F0">
        <w:rPr>
          <w:rFonts w:asciiTheme="majorHAnsi" w:hAnsiTheme="majorHAnsi" w:cstheme="majorHAnsi"/>
          <w:color w:val="000000"/>
          <w:spacing w:val="3"/>
          <w:sz w:val="22"/>
          <w:szCs w:val="22"/>
          <w:lang w:val="en-GB"/>
        </w:rPr>
        <w:t>-</w:t>
      </w:r>
      <w:r w:rsidRPr="007773F0">
        <w:rPr>
          <w:rFonts w:asciiTheme="majorHAnsi" w:hAnsiTheme="majorHAnsi" w:cstheme="majorHAnsi"/>
          <w:b/>
          <w:bCs/>
          <w:color w:val="000000"/>
          <w:spacing w:val="3"/>
          <w:sz w:val="22"/>
          <w:szCs w:val="22"/>
          <w:lang w:val="en-GB"/>
        </w:rPr>
        <w:t>Total price</w:t>
      </w:r>
      <w:r w:rsidRPr="007773F0">
        <w:rPr>
          <w:rFonts w:asciiTheme="majorHAnsi" w:hAnsiTheme="majorHAnsi" w:cstheme="majorHAnsi"/>
          <w:color w:val="000000"/>
          <w:spacing w:val="3"/>
          <w:sz w:val="22"/>
          <w:szCs w:val="22"/>
          <w:lang w:val="en-GB"/>
        </w:rPr>
        <w:t xml:space="preserve"> is the sum of pre-VAT price and VAT. </w:t>
      </w:r>
    </w:p>
    <w:p w14:paraId="5B35B371" w14:textId="77777777" w:rsidR="007773F0" w:rsidRPr="007773F0" w:rsidRDefault="007773F0" w:rsidP="0077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7773F0">
        <w:rPr>
          <w:rFonts w:asciiTheme="majorHAnsi" w:hAnsiTheme="majorHAnsi" w:cstheme="majorHAnsi"/>
          <w:color w:val="000000"/>
          <w:spacing w:val="3"/>
          <w:sz w:val="22"/>
          <w:szCs w:val="22"/>
          <w:lang w:val="en-GB"/>
        </w:rPr>
        <w:t xml:space="preserve">When evaluating the tenders, the Client will take into account the total price. </w:t>
      </w:r>
    </w:p>
    <w:p w14:paraId="3631E253" w14:textId="77777777" w:rsidR="007773F0" w:rsidRPr="007773F0" w:rsidRDefault="007773F0" w:rsidP="00777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rPr>
          <w:rFonts w:asciiTheme="majorHAnsi" w:hAnsiTheme="majorHAnsi" w:cstheme="majorHAnsi"/>
          <w:color w:val="000000"/>
          <w:spacing w:val="3"/>
          <w:sz w:val="22"/>
          <w:szCs w:val="22"/>
          <w:lang w:val="en-GB"/>
        </w:rPr>
      </w:pPr>
      <w:r w:rsidRPr="007773F0">
        <w:rPr>
          <w:rFonts w:asciiTheme="majorHAnsi" w:hAnsiTheme="majorHAnsi" w:cstheme="majorHAnsi"/>
          <w:color w:val="000000"/>
          <w:spacing w:val="3"/>
          <w:sz w:val="22"/>
          <w:szCs w:val="22"/>
          <w:lang w:val="en-GB"/>
        </w:rPr>
        <w:lastRenderedPageBreak/>
        <w:t xml:space="preserve">Transport fees (airplane ticket) and accommodation expenses related to the Proposal (if any) are not included and will be covered by the Client as an additional expense. </w:t>
      </w:r>
    </w:p>
    <w:bookmarkEnd w:id="6"/>
    <w:p w14:paraId="32C44FB0" w14:textId="77777777" w:rsidR="007773F0" w:rsidRPr="00CA453D" w:rsidRDefault="007773F0" w:rsidP="007773F0">
      <w:pPr>
        <w:shd w:val="clear" w:color="auto" w:fill="FFFFFF"/>
        <w:spacing w:before="120" w:after="120"/>
        <w:ind w:right="5"/>
        <w:jc w:val="both"/>
        <w:rPr>
          <w:rFonts w:cs="Calibri"/>
          <w:szCs w:val="22"/>
        </w:rPr>
      </w:pPr>
    </w:p>
    <w:p w14:paraId="6E34035A" w14:textId="5EF5DEA2" w:rsidR="002D562D" w:rsidRPr="00722F80" w:rsidRDefault="002D562D" w:rsidP="002D562D">
      <w:pPr>
        <w:shd w:val="clear" w:color="auto" w:fill="FFFFFF"/>
        <w:spacing w:before="120" w:after="120"/>
        <w:rPr>
          <w:rFonts w:asciiTheme="majorHAnsi" w:hAnsiTheme="majorHAnsi" w:cstheme="majorHAnsi"/>
          <w:sz w:val="22"/>
          <w:szCs w:val="22"/>
          <w:lang w:val="en-GB"/>
        </w:rPr>
      </w:pPr>
      <w:r w:rsidRPr="00722F80">
        <w:rPr>
          <w:rFonts w:asciiTheme="majorHAnsi" w:hAnsiTheme="majorHAnsi" w:cstheme="majorHAnsi"/>
          <w:b/>
          <w:color w:val="000000"/>
          <w:spacing w:val="-1"/>
          <w:sz w:val="22"/>
          <w:szCs w:val="22"/>
          <w:lang w:val="en-GB"/>
        </w:rPr>
        <w:t>5. AWARD CRITERIA</w:t>
      </w:r>
    </w:p>
    <w:p w14:paraId="5C7192EC" w14:textId="77777777" w:rsidR="002D562D" w:rsidRPr="00722F80"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722F80">
        <w:rPr>
          <w:rFonts w:asciiTheme="majorHAnsi" w:hAnsiTheme="majorHAnsi" w:cstheme="majorHAnsi"/>
          <w:color w:val="000000"/>
          <w:spacing w:val="1"/>
          <w:sz w:val="22"/>
          <w:szCs w:val="22"/>
          <w:lang w:val="en-GB"/>
        </w:rPr>
        <w:t xml:space="preserve">The Tender will be awarded according to the </w:t>
      </w:r>
      <w:r w:rsidRPr="00722F80">
        <w:rPr>
          <w:rFonts w:asciiTheme="majorHAnsi" w:hAnsiTheme="majorHAnsi" w:cstheme="majorHAnsi"/>
          <w:b/>
          <w:color w:val="000000"/>
          <w:spacing w:val="1"/>
          <w:sz w:val="22"/>
          <w:szCs w:val="22"/>
          <w:lang w:val="en-GB"/>
        </w:rPr>
        <w:t>most economically advantageous tender (MEAT) criteria</w:t>
      </w:r>
      <w:r w:rsidRPr="00722F80">
        <w:rPr>
          <w:rFonts w:asciiTheme="majorHAnsi" w:hAnsiTheme="majorHAnsi" w:cstheme="majorHAnsi"/>
          <w:color w:val="000000"/>
          <w:spacing w:val="1"/>
          <w:sz w:val="22"/>
          <w:szCs w:val="22"/>
          <w:lang w:val="en-GB"/>
        </w:rPr>
        <w:t xml:space="preserve">. </w:t>
      </w:r>
    </w:p>
    <w:p w14:paraId="0C1E5210" w14:textId="77777777" w:rsidR="002D562D" w:rsidRPr="00722F80"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7" w:name="_Hlk28383057"/>
      <w:r w:rsidRPr="00722F80">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722F80">
        <w:rPr>
          <w:rFonts w:asciiTheme="majorHAnsi" w:hAnsiTheme="majorHAnsi" w:cstheme="majorHAnsi"/>
          <w:spacing w:val="1"/>
          <w:sz w:val="22"/>
          <w:szCs w:val="22"/>
          <w:lang w:val="en-GB"/>
        </w:rPr>
        <w:t xml:space="preserve">satisfy </w:t>
      </w:r>
      <w:r w:rsidRPr="00722F80">
        <w:rPr>
          <w:rFonts w:asciiTheme="majorHAnsi" w:hAnsiTheme="majorHAnsi" w:cstheme="majorHAnsi"/>
          <w:sz w:val="22"/>
          <w:szCs w:val="22"/>
          <w:lang w:val="en-GB"/>
        </w:rPr>
        <w:t>technical and professional capacity criteria set in ch 3.1.</w:t>
      </w:r>
      <w:r w:rsidRPr="00722F80">
        <w:rPr>
          <w:rFonts w:asciiTheme="majorHAnsi" w:hAnsiTheme="majorHAnsi" w:cstheme="majorHAnsi"/>
          <w:b/>
          <w:sz w:val="22"/>
          <w:szCs w:val="22"/>
          <w:lang w:val="en-GB"/>
        </w:rPr>
        <w:t xml:space="preserve"> </w:t>
      </w:r>
      <w:r w:rsidRPr="00722F80">
        <w:rPr>
          <w:rFonts w:asciiTheme="majorHAnsi" w:hAnsiTheme="majorHAnsi" w:cstheme="majorHAnsi"/>
          <w:spacing w:val="1"/>
          <w:sz w:val="22"/>
          <w:szCs w:val="22"/>
          <w:lang w:val="en-GB"/>
        </w:rPr>
        <w:t>The MEAT award criteria are the following:</w:t>
      </w:r>
    </w:p>
    <w:p w14:paraId="68F5DBE1" w14:textId="77777777" w:rsidR="00763606" w:rsidRPr="00722F80"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722F80">
        <w:rPr>
          <w:rFonts w:asciiTheme="majorHAnsi" w:hAnsiTheme="majorHAnsi" w:cstheme="majorHAnsi"/>
          <w:sz w:val="22"/>
          <w:szCs w:val="22"/>
          <w:lang w:val="en-GB"/>
        </w:rPr>
        <w:t xml:space="preserve">expertise of the Tenderer (Annex 2); and </w:t>
      </w:r>
    </w:p>
    <w:p w14:paraId="023ED9A0" w14:textId="77777777" w:rsidR="002D562D" w:rsidRPr="00722F80" w:rsidRDefault="002D562D" w:rsidP="002D562D">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722F80">
        <w:rPr>
          <w:rFonts w:asciiTheme="majorHAnsi" w:hAnsiTheme="majorHAnsi" w:cstheme="majorHAnsi"/>
          <w:spacing w:val="1"/>
          <w:sz w:val="22"/>
          <w:szCs w:val="22"/>
          <w:lang w:val="en-GB"/>
        </w:rPr>
        <w:t>proposed price (Annex 3);</w:t>
      </w:r>
    </w:p>
    <w:p w14:paraId="7BBD4814" w14:textId="77777777" w:rsidR="002D562D" w:rsidRPr="00722F80" w:rsidRDefault="002D562D" w:rsidP="00AC2DD5">
      <w:pPr>
        <w:shd w:val="clear" w:color="auto" w:fill="FFFFFF"/>
        <w:spacing w:before="120" w:after="120"/>
        <w:ind w:right="5"/>
        <w:jc w:val="both"/>
        <w:rPr>
          <w:rFonts w:asciiTheme="majorHAnsi" w:hAnsiTheme="majorHAnsi" w:cstheme="majorHAnsi"/>
          <w:spacing w:val="1"/>
          <w:sz w:val="22"/>
          <w:szCs w:val="22"/>
          <w:lang w:val="en-GB"/>
        </w:rPr>
      </w:pPr>
      <w:bookmarkStart w:id="8" w:name="_Hlk28383470"/>
      <w:bookmarkEnd w:id="7"/>
      <w:r w:rsidRPr="00722F80">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722F80" w:rsidRDefault="002D562D" w:rsidP="00AC2DD5">
      <w:pPr>
        <w:shd w:val="clear" w:color="auto" w:fill="FFFFFF"/>
        <w:spacing w:before="120" w:after="120"/>
        <w:ind w:right="5"/>
        <w:jc w:val="both"/>
        <w:rPr>
          <w:rFonts w:asciiTheme="majorHAnsi" w:hAnsiTheme="majorHAnsi" w:cstheme="majorHAnsi"/>
          <w:spacing w:val="1"/>
          <w:sz w:val="22"/>
          <w:szCs w:val="22"/>
          <w:lang w:val="en-GB"/>
        </w:rPr>
      </w:pPr>
      <w:r w:rsidRPr="00722F80">
        <w:rPr>
          <w:rFonts w:asciiTheme="majorHAnsi" w:hAnsiTheme="majorHAnsi" w:cstheme="majorHAnsi"/>
          <w:spacing w:val="1"/>
          <w:sz w:val="22"/>
          <w:szCs w:val="22"/>
          <w:lang w:val="en-GB"/>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bookmarkEnd w:id="8"/>
    <w:p w14:paraId="6DC495F5" w14:textId="77777777" w:rsidR="002D562D" w:rsidRPr="00722F80" w:rsidRDefault="002D562D" w:rsidP="002D562D">
      <w:pPr>
        <w:shd w:val="clear" w:color="auto" w:fill="FFFFFF"/>
        <w:spacing w:before="120" w:after="120"/>
        <w:ind w:left="274" w:right="5"/>
        <w:jc w:val="both"/>
        <w:rPr>
          <w:rFonts w:asciiTheme="majorHAnsi" w:hAnsiTheme="majorHAnsi" w:cstheme="majorHAnsi"/>
          <w:lang w:val="en-GB"/>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
        <w:gridCol w:w="3269"/>
        <w:gridCol w:w="1551"/>
        <w:gridCol w:w="859"/>
        <w:gridCol w:w="983"/>
      </w:tblGrid>
      <w:tr w:rsidR="002D562D" w:rsidRPr="00722F80" w14:paraId="275CC4CA" w14:textId="77777777" w:rsidTr="008320C0">
        <w:tc>
          <w:tcPr>
            <w:tcW w:w="1134" w:type="dxa"/>
          </w:tcPr>
          <w:p w14:paraId="29B9BDC2" w14:textId="77777777" w:rsidR="002D562D" w:rsidRPr="00722F80" w:rsidRDefault="002D562D" w:rsidP="00445AAA">
            <w:pPr>
              <w:spacing w:before="120" w:after="120"/>
              <w:ind w:right="5"/>
              <w:jc w:val="both"/>
              <w:rPr>
                <w:rFonts w:asciiTheme="majorHAnsi" w:hAnsiTheme="majorHAnsi" w:cstheme="majorHAnsi"/>
                <w:b/>
                <w:bCs/>
                <w:spacing w:val="1"/>
                <w:sz w:val="18"/>
                <w:szCs w:val="18"/>
                <w:lang w:val="en-GB"/>
              </w:rPr>
            </w:pPr>
            <w:r w:rsidRPr="00722F80">
              <w:rPr>
                <w:rFonts w:asciiTheme="majorHAnsi" w:hAnsiTheme="majorHAnsi" w:cstheme="majorHAnsi"/>
                <w:b/>
                <w:bCs/>
                <w:spacing w:val="1"/>
                <w:sz w:val="18"/>
                <w:szCs w:val="18"/>
                <w:lang w:val="en-GB"/>
              </w:rPr>
              <w:t xml:space="preserve">Criteria </w:t>
            </w:r>
          </w:p>
        </w:tc>
        <w:tc>
          <w:tcPr>
            <w:tcW w:w="850" w:type="dxa"/>
          </w:tcPr>
          <w:p w14:paraId="55B188BA" w14:textId="77777777" w:rsidR="002D562D" w:rsidRPr="00722F80" w:rsidRDefault="002D562D" w:rsidP="00445AAA">
            <w:pPr>
              <w:spacing w:before="120" w:after="120"/>
              <w:ind w:right="5"/>
              <w:jc w:val="both"/>
              <w:rPr>
                <w:rFonts w:asciiTheme="majorHAnsi" w:hAnsiTheme="majorHAnsi" w:cstheme="majorHAnsi"/>
                <w:b/>
                <w:bCs/>
                <w:spacing w:val="1"/>
                <w:sz w:val="18"/>
                <w:szCs w:val="18"/>
                <w:lang w:val="en-GB"/>
              </w:rPr>
            </w:pPr>
            <w:r w:rsidRPr="00722F80">
              <w:rPr>
                <w:rFonts w:asciiTheme="majorHAnsi" w:hAnsiTheme="majorHAnsi" w:cstheme="majorHAnsi"/>
                <w:b/>
                <w:bCs/>
                <w:spacing w:val="1"/>
                <w:sz w:val="18"/>
                <w:szCs w:val="18"/>
                <w:lang w:val="en-GB"/>
              </w:rPr>
              <w:t>Criteria label</w:t>
            </w:r>
          </w:p>
        </w:tc>
        <w:tc>
          <w:tcPr>
            <w:tcW w:w="3269" w:type="dxa"/>
          </w:tcPr>
          <w:p w14:paraId="16D72BD4" w14:textId="77777777" w:rsidR="002D562D" w:rsidRPr="00722F80" w:rsidRDefault="002D562D" w:rsidP="00445AAA">
            <w:pPr>
              <w:spacing w:before="120" w:after="120"/>
              <w:ind w:right="5"/>
              <w:jc w:val="both"/>
              <w:rPr>
                <w:rFonts w:asciiTheme="majorHAnsi" w:hAnsiTheme="majorHAnsi" w:cstheme="majorHAnsi"/>
                <w:b/>
                <w:bCs/>
                <w:spacing w:val="1"/>
                <w:sz w:val="18"/>
                <w:szCs w:val="18"/>
                <w:lang w:val="en-GB"/>
              </w:rPr>
            </w:pPr>
            <w:r w:rsidRPr="00722F80">
              <w:rPr>
                <w:rFonts w:asciiTheme="majorHAnsi" w:hAnsiTheme="majorHAnsi" w:cstheme="majorHAnsi"/>
                <w:b/>
                <w:bCs/>
                <w:spacing w:val="1"/>
                <w:sz w:val="18"/>
                <w:szCs w:val="18"/>
                <w:lang w:val="en-GB"/>
              </w:rPr>
              <w:t>Description and measuring unit</w:t>
            </w:r>
          </w:p>
        </w:tc>
        <w:tc>
          <w:tcPr>
            <w:tcW w:w="1551" w:type="dxa"/>
          </w:tcPr>
          <w:p w14:paraId="57B918D7" w14:textId="77777777" w:rsidR="002D562D" w:rsidRPr="00722F80" w:rsidRDefault="002D562D" w:rsidP="00445AAA">
            <w:pPr>
              <w:spacing w:before="120" w:after="120"/>
              <w:ind w:right="5"/>
              <w:jc w:val="both"/>
              <w:rPr>
                <w:rFonts w:asciiTheme="majorHAnsi" w:hAnsiTheme="majorHAnsi" w:cstheme="majorHAnsi"/>
                <w:b/>
                <w:bCs/>
                <w:spacing w:val="1"/>
                <w:sz w:val="18"/>
                <w:szCs w:val="18"/>
                <w:lang w:val="en-GB"/>
              </w:rPr>
            </w:pPr>
            <w:r w:rsidRPr="00722F80">
              <w:rPr>
                <w:rFonts w:asciiTheme="majorHAnsi" w:hAnsiTheme="majorHAnsi" w:cstheme="majorHAnsi"/>
                <w:b/>
                <w:bCs/>
                <w:spacing w:val="1"/>
                <w:sz w:val="18"/>
                <w:szCs w:val="18"/>
                <w:lang w:val="en-GB"/>
              </w:rPr>
              <w:t>Methodology</w:t>
            </w:r>
          </w:p>
        </w:tc>
        <w:tc>
          <w:tcPr>
            <w:tcW w:w="859" w:type="dxa"/>
          </w:tcPr>
          <w:p w14:paraId="72FACC1D" w14:textId="77777777" w:rsidR="002D562D" w:rsidRPr="00722F80" w:rsidRDefault="002D562D" w:rsidP="00445AAA">
            <w:pPr>
              <w:spacing w:before="120" w:after="120"/>
              <w:ind w:right="5"/>
              <w:jc w:val="both"/>
              <w:rPr>
                <w:rFonts w:asciiTheme="majorHAnsi" w:hAnsiTheme="majorHAnsi" w:cstheme="majorHAnsi"/>
                <w:b/>
                <w:bCs/>
                <w:spacing w:val="1"/>
                <w:lang w:val="en-GB"/>
              </w:rPr>
            </w:pPr>
            <w:r w:rsidRPr="00722F80">
              <w:rPr>
                <w:rFonts w:asciiTheme="majorHAnsi" w:hAnsiTheme="majorHAnsi" w:cstheme="majorHAnsi"/>
                <w:b/>
                <w:bCs/>
                <w:spacing w:val="1"/>
                <w:sz w:val="18"/>
                <w:szCs w:val="18"/>
                <w:lang w:val="en-GB"/>
              </w:rPr>
              <w:t>Number of points</w:t>
            </w:r>
          </w:p>
        </w:tc>
        <w:tc>
          <w:tcPr>
            <w:tcW w:w="983" w:type="dxa"/>
          </w:tcPr>
          <w:p w14:paraId="1A7576D7" w14:textId="77777777" w:rsidR="002D562D" w:rsidRPr="00722F80" w:rsidRDefault="002D562D" w:rsidP="00445AAA">
            <w:pPr>
              <w:spacing w:before="120" w:after="120"/>
              <w:ind w:right="5"/>
              <w:jc w:val="both"/>
              <w:rPr>
                <w:rFonts w:asciiTheme="majorHAnsi" w:hAnsiTheme="majorHAnsi" w:cstheme="majorHAnsi"/>
                <w:b/>
                <w:bCs/>
                <w:spacing w:val="1"/>
                <w:sz w:val="18"/>
                <w:szCs w:val="18"/>
                <w:lang w:val="en-GB"/>
              </w:rPr>
            </w:pPr>
            <w:r w:rsidRPr="00722F80">
              <w:rPr>
                <w:rFonts w:asciiTheme="majorHAnsi" w:hAnsiTheme="majorHAnsi" w:cstheme="majorHAnsi"/>
                <w:b/>
                <w:bCs/>
                <w:spacing w:val="1"/>
                <w:sz w:val="18"/>
                <w:szCs w:val="18"/>
                <w:lang w:val="en-GB"/>
              </w:rPr>
              <w:t>Maximum</w:t>
            </w:r>
          </w:p>
        </w:tc>
      </w:tr>
      <w:tr w:rsidR="008F43BE" w:rsidRPr="00722F80" w14:paraId="1A56768D" w14:textId="77777777" w:rsidTr="008320C0">
        <w:trPr>
          <w:trHeight w:val="977"/>
        </w:trPr>
        <w:tc>
          <w:tcPr>
            <w:tcW w:w="1134" w:type="dxa"/>
          </w:tcPr>
          <w:p w14:paraId="2CF63314" w14:textId="77777777" w:rsidR="008F43BE" w:rsidRPr="00722F80" w:rsidRDefault="008F43BE" w:rsidP="008F43BE">
            <w:pPr>
              <w:spacing w:before="120" w:after="120"/>
              <w:ind w:right="5"/>
              <w:jc w:val="both"/>
              <w:rPr>
                <w:rFonts w:asciiTheme="majorHAnsi" w:hAnsiTheme="majorHAnsi" w:cstheme="majorHAnsi"/>
                <w:spacing w:val="1"/>
                <w:sz w:val="18"/>
                <w:szCs w:val="18"/>
                <w:lang w:val="en-GB"/>
              </w:rPr>
            </w:pPr>
            <w:r w:rsidRPr="00722F80">
              <w:rPr>
                <w:rFonts w:asciiTheme="majorHAnsi" w:hAnsiTheme="majorHAnsi" w:cstheme="majorHAnsi"/>
                <w:spacing w:val="1"/>
                <w:sz w:val="18"/>
                <w:szCs w:val="18"/>
                <w:lang w:val="en-GB"/>
              </w:rPr>
              <w:t>Price</w:t>
            </w:r>
          </w:p>
        </w:tc>
        <w:tc>
          <w:tcPr>
            <w:tcW w:w="850" w:type="dxa"/>
          </w:tcPr>
          <w:p w14:paraId="7C125ADB" w14:textId="77777777" w:rsidR="008F43BE" w:rsidRPr="00722F80" w:rsidRDefault="008F43BE" w:rsidP="008F43BE">
            <w:pPr>
              <w:spacing w:before="120" w:after="120"/>
              <w:ind w:right="5"/>
              <w:jc w:val="both"/>
              <w:rPr>
                <w:rFonts w:asciiTheme="majorHAnsi" w:hAnsiTheme="majorHAnsi" w:cstheme="majorHAnsi"/>
                <w:spacing w:val="1"/>
                <w:sz w:val="18"/>
                <w:szCs w:val="18"/>
                <w:lang w:val="en-GB"/>
              </w:rPr>
            </w:pPr>
            <w:r w:rsidRPr="00722F80">
              <w:rPr>
                <w:rFonts w:asciiTheme="majorHAnsi" w:hAnsiTheme="majorHAnsi" w:cstheme="majorHAnsi"/>
                <w:spacing w:val="1"/>
                <w:sz w:val="18"/>
                <w:szCs w:val="18"/>
                <w:lang w:val="en-GB"/>
              </w:rPr>
              <w:t>P</w:t>
            </w:r>
          </w:p>
        </w:tc>
        <w:tc>
          <w:tcPr>
            <w:tcW w:w="3269" w:type="dxa"/>
          </w:tcPr>
          <w:p w14:paraId="67348688" w14:textId="4C40004A" w:rsidR="008F43BE" w:rsidRPr="00722F80" w:rsidRDefault="008F43BE" w:rsidP="008F43BE">
            <w:pPr>
              <w:spacing w:before="120" w:after="120"/>
              <w:ind w:right="5"/>
              <w:jc w:val="both"/>
              <w:rPr>
                <w:rFonts w:asciiTheme="majorHAnsi" w:hAnsiTheme="majorHAnsi" w:cstheme="majorHAnsi"/>
                <w:spacing w:val="1"/>
                <w:sz w:val="18"/>
                <w:szCs w:val="18"/>
                <w:lang w:val="en-GB"/>
              </w:rPr>
            </w:pPr>
            <w:r w:rsidRPr="00722F80">
              <w:rPr>
                <w:rFonts w:asciiTheme="majorHAnsi" w:hAnsiTheme="majorHAnsi" w:cstheme="majorHAnsi"/>
                <w:spacing w:val="1"/>
                <w:sz w:val="18"/>
                <w:szCs w:val="18"/>
                <w:lang w:val="en-GB"/>
              </w:rPr>
              <w:t>The Tender price, i.e. the financial Tender amount in U</w:t>
            </w:r>
            <w:r w:rsidRPr="00722F80">
              <w:rPr>
                <w:spacing w:val="1"/>
                <w:sz w:val="18"/>
                <w:szCs w:val="18"/>
                <w:lang w:val="en-GB"/>
              </w:rPr>
              <w:t>SD</w:t>
            </w:r>
            <w:r w:rsidR="008320C0">
              <w:rPr>
                <w:spacing w:val="1"/>
                <w:sz w:val="18"/>
                <w:szCs w:val="18"/>
                <w:lang w:val="en-GB"/>
              </w:rPr>
              <w:t>,</w:t>
            </w:r>
            <w:r w:rsidRPr="00722F80">
              <w:rPr>
                <w:rFonts w:asciiTheme="majorHAnsi" w:hAnsiTheme="majorHAnsi" w:cstheme="majorHAnsi"/>
                <w:spacing w:val="1"/>
                <w:sz w:val="18"/>
                <w:szCs w:val="18"/>
                <w:lang w:val="en-GB"/>
              </w:rPr>
              <w:t xml:space="preserve"> including VAT, if applicable </w:t>
            </w:r>
          </w:p>
        </w:tc>
        <w:tc>
          <w:tcPr>
            <w:tcW w:w="1551" w:type="dxa"/>
          </w:tcPr>
          <w:p w14:paraId="6519FCBA" w14:textId="1FCDCDF2" w:rsidR="008F43BE" w:rsidRPr="00722F80" w:rsidRDefault="008F43BE" w:rsidP="008F43BE">
            <w:pPr>
              <w:spacing w:before="120" w:after="120"/>
              <w:ind w:right="5"/>
              <w:jc w:val="both"/>
              <w:rPr>
                <w:rFonts w:asciiTheme="majorHAnsi" w:hAnsiTheme="majorHAnsi" w:cstheme="majorHAnsi"/>
                <w:spacing w:val="1"/>
                <w:sz w:val="18"/>
                <w:szCs w:val="18"/>
                <w:lang w:val="en-GB"/>
              </w:rPr>
            </w:pPr>
            <w:r w:rsidRPr="00722F80">
              <w:rPr>
                <w:rFonts w:asciiTheme="majorHAnsi" w:hAnsiTheme="majorHAnsi" w:cstheme="majorHAnsi"/>
                <w:spacing w:val="1"/>
                <w:sz w:val="18"/>
                <w:szCs w:val="18"/>
                <w:lang w:val="en-GB"/>
              </w:rPr>
              <w:t xml:space="preserve">C = (lowest bid price/bid price being evaluated) x </w:t>
            </w:r>
            <w:r w:rsidR="00491EEC" w:rsidRPr="00722F80">
              <w:rPr>
                <w:rFonts w:asciiTheme="majorHAnsi" w:hAnsiTheme="majorHAnsi" w:cstheme="majorHAnsi"/>
                <w:spacing w:val="1"/>
                <w:sz w:val="18"/>
                <w:szCs w:val="18"/>
                <w:lang w:val="en-GB"/>
              </w:rPr>
              <w:t>3</w:t>
            </w:r>
            <w:r w:rsidRPr="00722F80">
              <w:rPr>
                <w:rFonts w:asciiTheme="majorHAnsi" w:hAnsiTheme="majorHAnsi" w:cstheme="majorHAnsi"/>
                <w:spacing w:val="1"/>
                <w:sz w:val="18"/>
                <w:szCs w:val="18"/>
                <w:lang w:val="en-GB"/>
              </w:rPr>
              <w:t>0</w:t>
            </w:r>
          </w:p>
        </w:tc>
        <w:tc>
          <w:tcPr>
            <w:tcW w:w="859" w:type="dxa"/>
            <w:shd w:val="clear" w:color="auto" w:fill="auto"/>
          </w:tcPr>
          <w:p w14:paraId="310145EF" w14:textId="06943B26" w:rsidR="008F43BE" w:rsidRPr="00722F80" w:rsidRDefault="009744E9" w:rsidP="008F43BE">
            <w:pPr>
              <w:spacing w:before="120" w:after="120"/>
              <w:ind w:right="5"/>
              <w:jc w:val="both"/>
              <w:rPr>
                <w:rFonts w:asciiTheme="majorHAnsi" w:hAnsiTheme="majorHAnsi" w:cstheme="majorHAnsi"/>
                <w:spacing w:val="1"/>
                <w:sz w:val="18"/>
                <w:szCs w:val="18"/>
                <w:lang w:val="en-GB"/>
              </w:rPr>
            </w:pPr>
            <w:r w:rsidRPr="00722F80">
              <w:rPr>
                <w:rFonts w:asciiTheme="majorHAnsi" w:hAnsiTheme="majorHAnsi" w:cstheme="majorHAnsi"/>
                <w:spacing w:val="1"/>
                <w:sz w:val="18"/>
                <w:szCs w:val="18"/>
                <w:lang w:val="en-GB"/>
              </w:rPr>
              <w:t>3</w:t>
            </w:r>
            <w:r w:rsidR="008F43BE" w:rsidRPr="00722F80">
              <w:rPr>
                <w:rFonts w:asciiTheme="majorHAnsi" w:hAnsiTheme="majorHAnsi" w:cstheme="majorHAnsi"/>
                <w:spacing w:val="1"/>
                <w:sz w:val="18"/>
                <w:szCs w:val="18"/>
                <w:lang w:val="en-GB"/>
              </w:rPr>
              <w:t>0</w:t>
            </w:r>
          </w:p>
        </w:tc>
        <w:tc>
          <w:tcPr>
            <w:tcW w:w="983" w:type="dxa"/>
          </w:tcPr>
          <w:p w14:paraId="18E4BDEA" w14:textId="4C594CF2" w:rsidR="008F43BE" w:rsidRPr="00722F80" w:rsidRDefault="009744E9" w:rsidP="008320C0">
            <w:pPr>
              <w:spacing w:before="120" w:after="120"/>
              <w:ind w:right="5"/>
              <w:jc w:val="center"/>
              <w:rPr>
                <w:rFonts w:asciiTheme="majorHAnsi" w:hAnsiTheme="majorHAnsi" w:cstheme="majorHAnsi"/>
                <w:spacing w:val="1"/>
                <w:sz w:val="18"/>
                <w:szCs w:val="18"/>
                <w:lang w:val="en-GB"/>
              </w:rPr>
            </w:pPr>
            <w:r w:rsidRPr="00722F80">
              <w:rPr>
                <w:rFonts w:asciiTheme="majorHAnsi" w:hAnsiTheme="majorHAnsi" w:cstheme="majorHAnsi"/>
                <w:spacing w:val="1"/>
                <w:sz w:val="18"/>
                <w:szCs w:val="18"/>
                <w:lang w:val="en-GB"/>
              </w:rPr>
              <w:t>3</w:t>
            </w:r>
            <w:r w:rsidR="008F43BE" w:rsidRPr="00722F80">
              <w:rPr>
                <w:rFonts w:asciiTheme="majorHAnsi" w:hAnsiTheme="majorHAnsi" w:cstheme="majorHAnsi"/>
                <w:spacing w:val="1"/>
                <w:sz w:val="18"/>
                <w:szCs w:val="18"/>
                <w:lang w:val="en-GB"/>
              </w:rPr>
              <w:t>0</w:t>
            </w:r>
          </w:p>
        </w:tc>
      </w:tr>
      <w:tr w:rsidR="00AC2DD5" w:rsidRPr="00946180" w14:paraId="22EDFEDB" w14:textId="77777777" w:rsidTr="00DB4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1134" w:type="dxa"/>
            <w:vMerge w:val="restart"/>
            <w:tcBorders>
              <w:top w:val="single" w:sz="4" w:space="0" w:color="000000"/>
              <w:left w:val="single" w:sz="4" w:space="0" w:color="000000"/>
              <w:right w:val="single" w:sz="4" w:space="0" w:color="000000"/>
            </w:tcBorders>
            <w:shd w:val="clear" w:color="auto" w:fill="auto"/>
          </w:tcPr>
          <w:p w14:paraId="222EF88A" w14:textId="77777777" w:rsidR="00AC2DD5" w:rsidRPr="00FC393D" w:rsidRDefault="00AC2DD5" w:rsidP="0017772C">
            <w:pPr>
              <w:spacing w:before="120" w:after="120"/>
              <w:ind w:right="5"/>
              <w:jc w:val="both"/>
            </w:pPr>
            <w:r w:rsidRPr="00FC393D">
              <w:rPr>
                <w:rFonts w:asciiTheme="majorHAnsi" w:hAnsiTheme="majorHAnsi" w:cstheme="majorHAnsi"/>
                <w:spacing w:val="1"/>
                <w:sz w:val="18"/>
                <w:szCs w:val="18"/>
                <w:lang w:val="en-GB"/>
              </w:rPr>
              <w:t>Expertise</w:t>
            </w:r>
          </w:p>
        </w:tc>
        <w:tc>
          <w:tcPr>
            <w:tcW w:w="850" w:type="dxa"/>
            <w:vMerge w:val="restart"/>
            <w:tcBorders>
              <w:top w:val="single" w:sz="4" w:space="0" w:color="000000"/>
              <w:left w:val="single" w:sz="4" w:space="0" w:color="000000"/>
              <w:bottom w:val="single" w:sz="4" w:space="0" w:color="auto"/>
              <w:right w:val="single" w:sz="4" w:space="0" w:color="auto"/>
            </w:tcBorders>
            <w:shd w:val="clear" w:color="auto" w:fill="auto"/>
          </w:tcPr>
          <w:p w14:paraId="7F017E2D" w14:textId="77777777" w:rsidR="00AC2DD5" w:rsidRDefault="00AC2DD5" w:rsidP="0017772C">
            <w:pPr>
              <w:spacing w:before="120" w:after="120"/>
              <w:ind w:right="5"/>
              <w:jc w:val="both"/>
              <w:rPr>
                <w:rFonts w:asciiTheme="majorHAnsi" w:hAnsiTheme="majorHAnsi" w:cstheme="majorHAnsi"/>
                <w:spacing w:val="1"/>
                <w:sz w:val="18"/>
                <w:szCs w:val="18"/>
                <w:lang w:val="en-GB"/>
              </w:rPr>
            </w:pPr>
            <w:r w:rsidRPr="00FC393D">
              <w:rPr>
                <w:rFonts w:asciiTheme="majorHAnsi" w:hAnsiTheme="majorHAnsi" w:cstheme="majorHAnsi"/>
                <w:spacing w:val="1"/>
                <w:sz w:val="18"/>
                <w:szCs w:val="18"/>
                <w:lang w:val="en-GB"/>
              </w:rPr>
              <w:t>E</w:t>
            </w:r>
          </w:p>
          <w:p w14:paraId="77527F74" w14:textId="77777777" w:rsidR="00AC2DD5" w:rsidRDefault="00AC2DD5" w:rsidP="0017772C">
            <w:pPr>
              <w:spacing w:before="120" w:after="120"/>
              <w:ind w:right="5"/>
              <w:jc w:val="both"/>
              <w:rPr>
                <w:rFonts w:asciiTheme="majorHAnsi" w:hAnsiTheme="majorHAnsi"/>
                <w:spacing w:val="1"/>
                <w:sz w:val="18"/>
                <w:szCs w:val="18"/>
              </w:rPr>
            </w:pPr>
          </w:p>
          <w:p w14:paraId="32F06FC4" w14:textId="77777777" w:rsidR="00AC2DD5" w:rsidRDefault="00AC2DD5" w:rsidP="0017772C">
            <w:pPr>
              <w:spacing w:before="120" w:after="120"/>
              <w:ind w:right="5"/>
              <w:jc w:val="both"/>
              <w:rPr>
                <w:rFonts w:asciiTheme="majorHAnsi" w:hAnsiTheme="majorHAnsi"/>
                <w:spacing w:val="1"/>
                <w:sz w:val="18"/>
                <w:szCs w:val="18"/>
              </w:rPr>
            </w:pPr>
          </w:p>
          <w:p w14:paraId="355999CA" w14:textId="77777777" w:rsidR="00AC2DD5" w:rsidRPr="00FC393D" w:rsidRDefault="00AC2DD5" w:rsidP="0017772C">
            <w:pPr>
              <w:spacing w:before="120" w:after="120"/>
              <w:ind w:right="5"/>
              <w:jc w:val="both"/>
            </w:pPr>
          </w:p>
        </w:tc>
        <w:tc>
          <w:tcPr>
            <w:tcW w:w="3269" w:type="dxa"/>
            <w:vMerge w:val="restart"/>
            <w:tcBorders>
              <w:top w:val="single" w:sz="4" w:space="0" w:color="auto"/>
              <w:left w:val="single" w:sz="4" w:space="0" w:color="auto"/>
              <w:bottom w:val="single" w:sz="4" w:space="0" w:color="auto"/>
              <w:right w:val="single" w:sz="4" w:space="0" w:color="auto"/>
            </w:tcBorders>
            <w:shd w:val="clear" w:color="auto" w:fill="auto"/>
          </w:tcPr>
          <w:p w14:paraId="496DA443" w14:textId="4E58009B" w:rsidR="00AC2DD5" w:rsidRPr="001D2485" w:rsidRDefault="00AC2DD5" w:rsidP="0017772C">
            <w:pPr>
              <w:spacing w:before="120" w:after="120"/>
              <w:ind w:right="5"/>
              <w:rPr>
                <w:lang w:val="en-GB"/>
              </w:rPr>
            </w:pPr>
            <w:r w:rsidRPr="00D3732B">
              <w:rPr>
                <w:rFonts w:asciiTheme="majorHAnsi" w:hAnsiTheme="majorHAnsi" w:cstheme="majorHAnsi"/>
                <w:spacing w:val="1"/>
                <w:sz w:val="18"/>
                <w:szCs w:val="18"/>
                <w:lang w:val="en-GB"/>
              </w:rPr>
              <w:t>Number of projects</w:t>
            </w:r>
            <w:r>
              <w:rPr>
                <w:rFonts w:asciiTheme="majorHAnsi" w:hAnsiTheme="majorHAnsi" w:cstheme="majorHAnsi"/>
                <w:spacing w:val="1"/>
                <w:sz w:val="18"/>
                <w:szCs w:val="18"/>
                <w:lang w:val="en-GB"/>
              </w:rPr>
              <w:t>/assessments related to economic aspects of ICZM</w:t>
            </w:r>
            <w:r w:rsidRPr="00D3732B">
              <w:rPr>
                <w:rFonts w:asciiTheme="majorHAnsi" w:hAnsiTheme="majorHAnsi" w:cstheme="majorHAnsi"/>
                <w:spacing w:val="1"/>
                <w:sz w:val="18"/>
                <w:szCs w:val="18"/>
                <w:lang w:val="en-GB"/>
              </w:rPr>
              <w:t xml:space="preserve"> in which the tenderer was involved as the expert/coordinator</w:t>
            </w:r>
          </w:p>
          <w:p w14:paraId="0E437BEE" w14:textId="77777777" w:rsidR="00AC2DD5" w:rsidRPr="00FC393D" w:rsidRDefault="00AC2DD5" w:rsidP="0017772C">
            <w:pPr>
              <w:spacing w:before="120" w:after="120"/>
              <w:ind w:right="5"/>
              <w:rPr>
                <w:rFonts w:asciiTheme="majorHAnsi" w:hAnsiTheme="majorHAnsi" w:cstheme="majorHAnsi"/>
                <w:spacing w:val="1"/>
                <w:sz w:val="18"/>
                <w:szCs w:val="18"/>
                <w:lang w:val="en-GB"/>
              </w:rPr>
            </w:pPr>
          </w:p>
        </w:tc>
        <w:tc>
          <w:tcPr>
            <w:tcW w:w="1551" w:type="dxa"/>
            <w:tcBorders>
              <w:top w:val="single" w:sz="4" w:space="0" w:color="000000"/>
              <w:left w:val="single" w:sz="4" w:space="0" w:color="auto"/>
              <w:bottom w:val="single" w:sz="4" w:space="0" w:color="000000"/>
              <w:right w:val="single" w:sz="4" w:space="0" w:color="000000"/>
            </w:tcBorders>
            <w:shd w:val="clear" w:color="auto" w:fill="auto"/>
          </w:tcPr>
          <w:p w14:paraId="4DF607EA" w14:textId="77777777" w:rsidR="00AC2DD5" w:rsidRPr="00FC393D" w:rsidRDefault="00AC2DD5" w:rsidP="0017772C">
            <w:pPr>
              <w:spacing w:before="120" w:after="120"/>
              <w:ind w:right="5"/>
              <w:jc w:val="center"/>
            </w:pPr>
            <w:r w:rsidRPr="00FC393D">
              <w:rPr>
                <w:rFonts w:asciiTheme="majorHAnsi" w:hAnsiTheme="majorHAnsi" w:cstheme="majorHAnsi"/>
                <w:spacing w:val="1"/>
                <w:sz w:val="18"/>
                <w:szCs w:val="18"/>
                <w:lang w:val="en-GB"/>
              </w:rPr>
              <w:t>1</w:t>
            </w:r>
            <w:r>
              <w:rPr>
                <w:rFonts w:asciiTheme="majorHAnsi" w:hAnsiTheme="majorHAnsi" w:cstheme="majorHAnsi"/>
                <w:spacing w:val="1"/>
                <w:sz w:val="18"/>
                <w:szCs w:val="18"/>
                <w:lang w:val="en-GB"/>
              </w:rPr>
              <w:t xml:space="preserve"> -2</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729A8D85" w14:textId="77777777" w:rsidR="00AC2DD5" w:rsidRPr="00FC393D" w:rsidRDefault="00AC2DD5" w:rsidP="0017772C">
            <w:pPr>
              <w:spacing w:before="120" w:after="120"/>
              <w:ind w:right="5"/>
              <w:jc w:val="both"/>
            </w:pPr>
            <w:r>
              <w:rPr>
                <w:rFonts w:asciiTheme="majorHAnsi" w:hAnsiTheme="majorHAnsi" w:cstheme="majorHAnsi"/>
                <w:spacing w:val="1"/>
                <w:sz w:val="18"/>
                <w:szCs w:val="18"/>
                <w:lang w:val="en-GB"/>
              </w:rPr>
              <w:t>5</w:t>
            </w:r>
          </w:p>
        </w:tc>
        <w:tc>
          <w:tcPr>
            <w:tcW w:w="983" w:type="dxa"/>
            <w:vMerge w:val="restart"/>
            <w:tcBorders>
              <w:top w:val="single" w:sz="4" w:space="0" w:color="000000"/>
              <w:left w:val="single" w:sz="4" w:space="0" w:color="000000"/>
              <w:bottom w:val="single" w:sz="4" w:space="0" w:color="auto"/>
              <w:right w:val="single" w:sz="4" w:space="0" w:color="000000"/>
            </w:tcBorders>
            <w:shd w:val="clear" w:color="auto" w:fill="auto"/>
          </w:tcPr>
          <w:p w14:paraId="2E342EA3" w14:textId="47694A34" w:rsidR="00AC2DD5" w:rsidRPr="00946180" w:rsidRDefault="00AC2DD5" w:rsidP="0017772C">
            <w:pPr>
              <w:spacing w:before="120" w:after="120"/>
              <w:ind w:right="5"/>
              <w:jc w:val="center"/>
            </w:pPr>
            <w:r>
              <w:rPr>
                <w:rFonts w:asciiTheme="majorHAnsi" w:hAnsiTheme="majorHAnsi" w:cstheme="majorHAnsi"/>
                <w:spacing w:val="1"/>
                <w:sz w:val="18"/>
                <w:szCs w:val="18"/>
                <w:lang w:val="en-GB"/>
              </w:rPr>
              <w:t>30</w:t>
            </w:r>
          </w:p>
        </w:tc>
      </w:tr>
      <w:tr w:rsidR="00AC2DD5" w:rsidRPr="00946180" w14:paraId="654EC178" w14:textId="77777777" w:rsidTr="00DB4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134" w:type="dxa"/>
            <w:vMerge/>
            <w:tcBorders>
              <w:left w:val="single" w:sz="4" w:space="0" w:color="000000"/>
              <w:right w:val="single" w:sz="4" w:space="0" w:color="000000"/>
            </w:tcBorders>
            <w:shd w:val="clear" w:color="auto" w:fill="auto"/>
          </w:tcPr>
          <w:p w14:paraId="1F56D0A8"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850" w:type="dxa"/>
            <w:vMerge/>
            <w:tcBorders>
              <w:left w:val="single" w:sz="4" w:space="0" w:color="000000"/>
              <w:bottom w:val="single" w:sz="4" w:space="0" w:color="auto"/>
              <w:right w:val="single" w:sz="4" w:space="0" w:color="auto"/>
            </w:tcBorders>
            <w:shd w:val="clear" w:color="auto" w:fill="auto"/>
          </w:tcPr>
          <w:p w14:paraId="608F803E"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3269" w:type="dxa"/>
            <w:vMerge/>
            <w:tcBorders>
              <w:left w:val="single" w:sz="4" w:space="0" w:color="auto"/>
              <w:bottom w:val="single" w:sz="4" w:space="0" w:color="auto"/>
              <w:right w:val="single" w:sz="4" w:space="0" w:color="auto"/>
            </w:tcBorders>
            <w:shd w:val="clear" w:color="auto" w:fill="auto"/>
          </w:tcPr>
          <w:p w14:paraId="7C37A1BD"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1551" w:type="dxa"/>
            <w:tcBorders>
              <w:top w:val="single" w:sz="4" w:space="0" w:color="000000"/>
              <w:left w:val="single" w:sz="4" w:space="0" w:color="auto"/>
              <w:bottom w:val="single" w:sz="4" w:space="0" w:color="000000"/>
              <w:right w:val="single" w:sz="4" w:space="0" w:color="000000"/>
            </w:tcBorders>
            <w:shd w:val="clear" w:color="auto" w:fill="auto"/>
          </w:tcPr>
          <w:p w14:paraId="7D44B9FB" w14:textId="77777777" w:rsidR="00AC2DD5" w:rsidRPr="00FC393D" w:rsidRDefault="00AC2DD5" w:rsidP="0017772C">
            <w:pPr>
              <w:spacing w:before="120" w:after="120"/>
              <w:ind w:right="5"/>
              <w:jc w:val="center"/>
            </w:pPr>
            <w:r>
              <w:rPr>
                <w:rFonts w:asciiTheme="majorHAnsi" w:hAnsiTheme="majorHAnsi" w:cstheme="majorHAnsi"/>
                <w:spacing w:val="1"/>
                <w:sz w:val="18"/>
                <w:szCs w:val="18"/>
                <w:lang w:val="en-GB"/>
              </w:rPr>
              <w:t>3-4</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509FC8CB" w14:textId="77777777" w:rsidR="00AC2DD5" w:rsidRPr="00FC393D" w:rsidRDefault="00AC2DD5" w:rsidP="0017772C">
            <w:pPr>
              <w:spacing w:before="120" w:after="120"/>
              <w:ind w:right="5"/>
              <w:jc w:val="both"/>
            </w:pPr>
            <w:r>
              <w:rPr>
                <w:rFonts w:asciiTheme="majorHAnsi" w:hAnsiTheme="majorHAnsi" w:cstheme="majorHAnsi"/>
                <w:spacing w:val="1"/>
                <w:sz w:val="18"/>
                <w:szCs w:val="18"/>
                <w:lang w:val="en-GB"/>
              </w:rPr>
              <w:t>1</w:t>
            </w:r>
            <w:r w:rsidRPr="00FC393D">
              <w:rPr>
                <w:rFonts w:asciiTheme="majorHAnsi" w:hAnsiTheme="majorHAnsi" w:cstheme="majorHAnsi"/>
                <w:spacing w:val="1"/>
                <w:sz w:val="18"/>
                <w:szCs w:val="18"/>
                <w:lang w:val="en-GB"/>
              </w:rPr>
              <w:t>0</w:t>
            </w:r>
          </w:p>
        </w:tc>
        <w:tc>
          <w:tcPr>
            <w:tcW w:w="983" w:type="dxa"/>
            <w:vMerge/>
            <w:tcBorders>
              <w:left w:val="single" w:sz="4" w:space="0" w:color="000000"/>
              <w:bottom w:val="single" w:sz="4" w:space="0" w:color="auto"/>
              <w:right w:val="single" w:sz="4" w:space="0" w:color="000000"/>
            </w:tcBorders>
            <w:shd w:val="clear" w:color="auto" w:fill="auto"/>
          </w:tcPr>
          <w:p w14:paraId="1CE70245" w14:textId="77777777" w:rsidR="00AC2DD5" w:rsidRPr="00946180" w:rsidRDefault="00AC2DD5" w:rsidP="0017772C">
            <w:pPr>
              <w:spacing w:before="120" w:after="120"/>
              <w:ind w:right="5"/>
              <w:jc w:val="both"/>
              <w:rPr>
                <w:rFonts w:asciiTheme="majorHAnsi" w:hAnsiTheme="majorHAnsi" w:cstheme="majorHAnsi"/>
                <w:spacing w:val="1"/>
                <w:sz w:val="18"/>
                <w:szCs w:val="18"/>
                <w:lang w:val="en-GB"/>
              </w:rPr>
            </w:pPr>
          </w:p>
        </w:tc>
      </w:tr>
      <w:tr w:rsidR="00AC2DD5" w:rsidRPr="00946180" w14:paraId="7B0A7FF5" w14:textId="77777777" w:rsidTr="00DB4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1134" w:type="dxa"/>
            <w:vMerge/>
            <w:tcBorders>
              <w:left w:val="single" w:sz="4" w:space="0" w:color="000000"/>
              <w:right w:val="single" w:sz="4" w:space="0" w:color="000000"/>
            </w:tcBorders>
            <w:shd w:val="clear" w:color="auto" w:fill="auto"/>
          </w:tcPr>
          <w:p w14:paraId="1960FF79"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850" w:type="dxa"/>
            <w:vMerge/>
            <w:tcBorders>
              <w:left w:val="single" w:sz="4" w:space="0" w:color="000000"/>
              <w:bottom w:val="single" w:sz="4" w:space="0" w:color="auto"/>
              <w:right w:val="single" w:sz="4" w:space="0" w:color="auto"/>
            </w:tcBorders>
            <w:shd w:val="clear" w:color="auto" w:fill="auto"/>
          </w:tcPr>
          <w:p w14:paraId="3935877E"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3269" w:type="dxa"/>
            <w:vMerge/>
            <w:tcBorders>
              <w:left w:val="single" w:sz="4" w:space="0" w:color="auto"/>
              <w:bottom w:val="single" w:sz="4" w:space="0" w:color="auto"/>
              <w:right w:val="single" w:sz="4" w:space="0" w:color="auto"/>
            </w:tcBorders>
            <w:shd w:val="clear" w:color="auto" w:fill="auto"/>
          </w:tcPr>
          <w:p w14:paraId="559BD200"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1551" w:type="dxa"/>
            <w:tcBorders>
              <w:top w:val="single" w:sz="4" w:space="0" w:color="000000"/>
              <w:left w:val="single" w:sz="4" w:space="0" w:color="auto"/>
              <w:bottom w:val="single" w:sz="4" w:space="0" w:color="000000"/>
              <w:right w:val="single" w:sz="4" w:space="0" w:color="000000"/>
            </w:tcBorders>
            <w:shd w:val="clear" w:color="auto" w:fill="auto"/>
          </w:tcPr>
          <w:p w14:paraId="55D4330C" w14:textId="77777777" w:rsidR="00AC2DD5" w:rsidRPr="00FC393D" w:rsidRDefault="00AC2DD5" w:rsidP="0017772C">
            <w:pPr>
              <w:spacing w:before="120" w:after="120"/>
              <w:ind w:right="5"/>
              <w:jc w:val="center"/>
            </w:pPr>
            <w:r>
              <w:rPr>
                <w:rFonts w:asciiTheme="majorHAnsi" w:hAnsiTheme="majorHAnsi" w:cstheme="majorHAnsi"/>
                <w:spacing w:val="1"/>
                <w:sz w:val="18"/>
                <w:szCs w:val="18"/>
                <w:lang w:val="en-GB"/>
              </w:rPr>
              <w:t>5 - 6</w:t>
            </w:r>
          </w:p>
        </w:tc>
        <w:tc>
          <w:tcPr>
            <w:tcW w:w="859" w:type="dxa"/>
            <w:tcBorders>
              <w:top w:val="single" w:sz="4" w:space="0" w:color="000000"/>
              <w:left w:val="single" w:sz="4" w:space="0" w:color="000000"/>
              <w:bottom w:val="single" w:sz="4" w:space="0" w:color="000000"/>
              <w:right w:val="single" w:sz="4" w:space="0" w:color="000000"/>
            </w:tcBorders>
            <w:shd w:val="clear" w:color="auto" w:fill="auto"/>
          </w:tcPr>
          <w:p w14:paraId="48B74686" w14:textId="316B7627" w:rsidR="00AC2DD5" w:rsidRPr="00FC393D" w:rsidRDefault="00AC2DD5" w:rsidP="0017772C">
            <w:pPr>
              <w:spacing w:before="120" w:after="120"/>
              <w:ind w:right="5"/>
              <w:jc w:val="both"/>
            </w:pPr>
            <w:r>
              <w:rPr>
                <w:rFonts w:asciiTheme="majorHAnsi" w:hAnsiTheme="majorHAnsi" w:cstheme="majorHAnsi"/>
                <w:spacing w:val="1"/>
                <w:sz w:val="18"/>
                <w:szCs w:val="18"/>
                <w:lang w:val="en-GB"/>
              </w:rPr>
              <w:t>20</w:t>
            </w:r>
          </w:p>
        </w:tc>
        <w:tc>
          <w:tcPr>
            <w:tcW w:w="983" w:type="dxa"/>
            <w:vMerge/>
            <w:tcBorders>
              <w:left w:val="single" w:sz="4" w:space="0" w:color="000000"/>
              <w:bottom w:val="single" w:sz="4" w:space="0" w:color="auto"/>
              <w:right w:val="single" w:sz="4" w:space="0" w:color="000000"/>
            </w:tcBorders>
            <w:shd w:val="clear" w:color="auto" w:fill="auto"/>
          </w:tcPr>
          <w:p w14:paraId="3A19637D" w14:textId="77777777" w:rsidR="00AC2DD5" w:rsidRPr="00946180" w:rsidRDefault="00AC2DD5" w:rsidP="0017772C">
            <w:pPr>
              <w:spacing w:before="120" w:after="120"/>
              <w:ind w:right="5"/>
              <w:jc w:val="both"/>
              <w:rPr>
                <w:rFonts w:asciiTheme="majorHAnsi" w:hAnsiTheme="majorHAnsi" w:cstheme="majorHAnsi"/>
                <w:spacing w:val="1"/>
                <w:sz w:val="18"/>
                <w:szCs w:val="18"/>
                <w:lang w:val="en-GB"/>
              </w:rPr>
            </w:pPr>
          </w:p>
        </w:tc>
      </w:tr>
      <w:tr w:rsidR="00AC2DD5" w:rsidRPr="00946180" w14:paraId="02B63761" w14:textId="77777777" w:rsidTr="00AC2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3"/>
        </w:trPr>
        <w:tc>
          <w:tcPr>
            <w:tcW w:w="1134" w:type="dxa"/>
            <w:vMerge/>
            <w:tcBorders>
              <w:left w:val="single" w:sz="4" w:space="0" w:color="000000"/>
              <w:right w:val="single" w:sz="4" w:space="0" w:color="000000"/>
            </w:tcBorders>
            <w:shd w:val="clear" w:color="auto" w:fill="auto"/>
          </w:tcPr>
          <w:p w14:paraId="5CDBDA21"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850" w:type="dxa"/>
            <w:vMerge/>
            <w:tcBorders>
              <w:left w:val="single" w:sz="4" w:space="0" w:color="000000"/>
              <w:bottom w:val="single" w:sz="4" w:space="0" w:color="auto"/>
              <w:right w:val="single" w:sz="4" w:space="0" w:color="auto"/>
            </w:tcBorders>
            <w:shd w:val="clear" w:color="auto" w:fill="auto"/>
          </w:tcPr>
          <w:p w14:paraId="794C1534"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3269" w:type="dxa"/>
            <w:vMerge/>
            <w:tcBorders>
              <w:left w:val="single" w:sz="4" w:space="0" w:color="auto"/>
              <w:bottom w:val="single" w:sz="4" w:space="0" w:color="auto"/>
              <w:right w:val="single" w:sz="4" w:space="0" w:color="auto"/>
            </w:tcBorders>
            <w:shd w:val="clear" w:color="auto" w:fill="auto"/>
          </w:tcPr>
          <w:p w14:paraId="76D65756"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1551" w:type="dxa"/>
            <w:tcBorders>
              <w:top w:val="single" w:sz="4" w:space="0" w:color="000000"/>
              <w:left w:val="single" w:sz="4" w:space="0" w:color="auto"/>
              <w:bottom w:val="single" w:sz="4" w:space="0" w:color="000000"/>
              <w:right w:val="single" w:sz="4" w:space="0" w:color="000000"/>
            </w:tcBorders>
            <w:shd w:val="clear" w:color="auto" w:fill="auto"/>
          </w:tcPr>
          <w:p w14:paraId="17E16A5E" w14:textId="77777777" w:rsidR="00AC2DD5" w:rsidRPr="00FC393D" w:rsidRDefault="00AC2DD5" w:rsidP="0017772C">
            <w:pPr>
              <w:spacing w:before="120" w:after="120"/>
              <w:ind w:right="5"/>
              <w:jc w:val="center"/>
            </w:pPr>
            <w:r>
              <w:rPr>
                <w:rFonts w:asciiTheme="majorHAnsi" w:hAnsiTheme="majorHAnsi" w:cstheme="majorHAnsi"/>
                <w:spacing w:val="1"/>
                <w:sz w:val="18"/>
                <w:szCs w:val="18"/>
                <w:lang w:val="en-GB"/>
              </w:rPr>
              <w:t>7 or more</w:t>
            </w:r>
          </w:p>
        </w:tc>
        <w:tc>
          <w:tcPr>
            <w:tcW w:w="859" w:type="dxa"/>
            <w:tcBorders>
              <w:top w:val="single" w:sz="4" w:space="0" w:color="000000"/>
              <w:left w:val="single" w:sz="4" w:space="0" w:color="000000"/>
              <w:bottom w:val="single" w:sz="4" w:space="0" w:color="auto"/>
              <w:right w:val="single" w:sz="4" w:space="0" w:color="000000"/>
            </w:tcBorders>
            <w:shd w:val="clear" w:color="auto" w:fill="auto"/>
          </w:tcPr>
          <w:p w14:paraId="3DBA4FD2" w14:textId="6BF352A8" w:rsidR="00AC2DD5" w:rsidRPr="00FC393D" w:rsidRDefault="00AC2DD5" w:rsidP="0017772C">
            <w:pPr>
              <w:spacing w:before="120" w:after="120"/>
              <w:ind w:right="5"/>
              <w:jc w:val="both"/>
            </w:pPr>
            <w:r>
              <w:rPr>
                <w:rFonts w:asciiTheme="majorHAnsi" w:hAnsiTheme="majorHAnsi" w:cstheme="majorHAnsi"/>
                <w:spacing w:val="1"/>
                <w:sz w:val="18"/>
                <w:szCs w:val="18"/>
                <w:lang w:val="en-GB"/>
              </w:rPr>
              <w:t>30</w:t>
            </w:r>
          </w:p>
        </w:tc>
        <w:tc>
          <w:tcPr>
            <w:tcW w:w="983" w:type="dxa"/>
            <w:vMerge/>
            <w:tcBorders>
              <w:left w:val="single" w:sz="4" w:space="0" w:color="000000"/>
              <w:bottom w:val="single" w:sz="4" w:space="0" w:color="auto"/>
              <w:right w:val="single" w:sz="4" w:space="0" w:color="000000"/>
            </w:tcBorders>
            <w:shd w:val="clear" w:color="auto" w:fill="auto"/>
          </w:tcPr>
          <w:p w14:paraId="2F95038E" w14:textId="77777777" w:rsidR="00AC2DD5" w:rsidRPr="00946180" w:rsidRDefault="00AC2DD5" w:rsidP="0017772C">
            <w:pPr>
              <w:spacing w:before="120" w:after="120"/>
              <w:ind w:right="5"/>
              <w:jc w:val="both"/>
              <w:rPr>
                <w:rFonts w:asciiTheme="majorHAnsi" w:hAnsiTheme="majorHAnsi" w:cstheme="majorHAnsi"/>
                <w:spacing w:val="1"/>
                <w:sz w:val="18"/>
                <w:szCs w:val="18"/>
                <w:lang w:val="en-GB"/>
              </w:rPr>
            </w:pPr>
          </w:p>
        </w:tc>
      </w:tr>
      <w:tr w:rsidR="00AC2DD5" w:rsidRPr="00946180" w14:paraId="30B2EF8C" w14:textId="77777777" w:rsidTr="00AC2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134" w:type="dxa"/>
            <w:vMerge/>
            <w:tcBorders>
              <w:left w:val="single" w:sz="4" w:space="0" w:color="000000"/>
              <w:right w:val="single" w:sz="4" w:space="0" w:color="000000"/>
            </w:tcBorders>
            <w:shd w:val="clear" w:color="auto" w:fill="auto"/>
          </w:tcPr>
          <w:p w14:paraId="23774115"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850" w:type="dxa"/>
            <w:vMerge w:val="restart"/>
            <w:tcBorders>
              <w:top w:val="single" w:sz="4" w:space="0" w:color="auto"/>
              <w:left w:val="single" w:sz="4" w:space="0" w:color="000000"/>
              <w:right w:val="single" w:sz="4" w:space="0" w:color="auto"/>
            </w:tcBorders>
            <w:shd w:val="clear" w:color="auto" w:fill="auto"/>
          </w:tcPr>
          <w:p w14:paraId="310888FD" w14:textId="59288467" w:rsidR="00AC2DD5" w:rsidRPr="00FC393D" w:rsidRDefault="00AC2DD5" w:rsidP="0017772C">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C</w:t>
            </w:r>
          </w:p>
        </w:tc>
        <w:tc>
          <w:tcPr>
            <w:tcW w:w="3269" w:type="dxa"/>
            <w:vMerge w:val="restart"/>
            <w:tcBorders>
              <w:top w:val="single" w:sz="4" w:space="0" w:color="auto"/>
              <w:left w:val="single" w:sz="4" w:space="0" w:color="auto"/>
              <w:right w:val="single" w:sz="4" w:space="0" w:color="auto"/>
            </w:tcBorders>
            <w:shd w:val="clear" w:color="auto" w:fill="auto"/>
          </w:tcPr>
          <w:p w14:paraId="4A92EBD1" w14:textId="62E37917" w:rsidR="00AC2DD5" w:rsidRPr="00FC393D" w:rsidRDefault="00AC2DD5" w:rsidP="008320C0">
            <w:pPr>
              <w:spacing w:before="120" w:after="120"/>
              <w:ind w:right="5"/>
              <w:rPr>
                <w:rFonts w:asciiTheme="majorHAnsi" w:hAnsiTheme="majorHAnsi" w:cstheme="majorHAnsi"/>
                <w:spacing w:val="1"/>
                <w:sz w:val="18"/>
                <w:szCs w:val="18"/>
                <w:lang w:val="en-GB"/>
              </w:rPr>
            </w:pPr>
            <w:r w:rsidRPr="00D3732B">
              <w:rPr>
                <w:rFonts w:asciiTheme="majorHAnsi" w:hAnsiTheme="majorHAnsi" w:cstheme="majorHAnsi"/>
                <w:spacing w:val="1"/>
                <w:sz w:val="18"/>
                <w:szCs w:val="18"/>
                <w:lang w:val="en-GB"/>
              </w:rPr>
              <w:t>Number of projects</w:t>
            </w:r>
            <w:r>
              <w:rPr>
                <w:rFonts w:asciiTheme="majorHAnsi" w:hAnsiTheme="majorHAnsi" w:cstheme="majorHAnsi"/>
                <w:spacing w:val="1"/>
                <w:sz w:val="18"/>
                <w:szCs w:val="18"/>
                <w:lang w:val="en-GB"/>
              </w:rPr>
              <w:t>/assessments</w:t>
            </w:r>
            <w:r w:rsidRPr="00D3732B">
              <w:rPr>
                <w:rFonts w:asciiTheme="majorHAnsi" w:hAnsiTheme="majorHAnsi" w:cstheme="majorHAnsi"/>
                <w:spacing w:val="1"/>
                <w:sz w:val="18"/>
                <w:szCs w:val="18"/>
                <w:lang w:val="en-GB"/>
              </w:rPr>
              <w:t xml:space="preserve"> </w:t>
            </w:r>
            <w:r>
              <w:rPr>
                <w:rFonts w:asciiTheme="majorHAnsi" w:hAnsiTheme="majorHAnsi" w:cstheme="majorHAnsi"/>
                <w:spacing w:val="1"/>
                <w:sz w:val="18"/>
                <w:szCs w:val="18"/>
                <w:lang w:val="en-GB"/>
              </w:rPr>
              <w:t>related to economic aspects of climate change</w:t>
            </w:r>
            <w:r w:rsidRPr="00D3732B">
              <w:rPr>
                <w:rFonts w:asciiTheme="majorHAnsi" w:hAnsiTheme="majorHAnsi" w:cstheme="majorHAnsi"/>
                <w:spacing w:val="1"/>
                <w:sz w:val="18"/>
                <w:szCs w:val="18"/>
                <w:lang w:val="en-GB"/>
              </w:rPr>
              <w:t xml:space="preserve"> in which the tenderer was involved as the expert/coordinator</w:t>
            </w:r>
          </w:p>
        </w:tc>
        <w:tc>
          <w:tcPr>
            <w:tcW w:w="1551" w:type="dxa"/>
            <w:tcBorders>
              <w:top w:val="single" w:sz="4" w:space="0" w:color="000000"/>
              <w:left w:val="single" w:sz="4" w:space="0" w:color="auto"/>
              <w:bottom w:val="single" w:sz="4" w:space="0" w:color="000000"/>
              <w:right w:val="single" w:sz="4" w:space="0" w:color="auto"/>
            </w:tcBorders>
            <w:shd w:val="clear" w:color="auto" w:fill="auto"/>
          </w:tcPr>
          <w:p w14:paraId="016D91AA" w14:textId="77777777" w:rsidR="00AC2DD5" w:rsidRDefault="00AC2DD5" w:rsidP="0017772C">
            <w:pPr>
              <w:spacing w:before="120" w:after="120"/>
              <w:ind w:right="5"/>
              <w:jc w:val="center"/>
              <w:rPr>
                <w:rFonts w:asciiTheme="majorHAnsi" w:hAnsiTheme="majorHAnsi" w:cstheme="majorHAnsi"/>
                <w:spacing w:val="1"/>
                <w:sz w:val="18"/>
                <w:szCs w:val="18"/>
                <w:lang w:val="en-GB"/>
              </w:rPr>
            </w:pPr>
            <w:r w:rsidRPr="00FC393D">
              <w:rPr>
                <w:rFonts w:asciiTheme="majorHAnsi" w:hAnsiTheme="majorHAnsi" w:cstheme="majorHAnsi"/>
                <w:spacing w:val="1"/>
                <w:sz w:val="18"/>
                <w:szCs w:val="18"/>
                <w:lang w:val="en-GB"/>
              </w:rPr>
              <w:t>1</w:t>
            </w:r>
            <w:r>
              <w:rPr>
                <w:rFonts w:asciiTheme="majorHAnsi" w:hAnsiTheme="majorHAnsi" w:cstheme="majorHAnsi"/>
                <w:spacing w:val="1"/>
                <w:sz w:val="18"/>
                <w:szCs w:val="18"/>
                <w:lang w:val="en-GB"/>
              </w:rPr>
              <w:t xml:space="preserve"> -2</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379C6FA" w14:textId="77777777" w:rsidR="00AC2DD5" w:rsidRDefault="00AC2DD5" w:rsidP="0017772C">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10</w:t>
            </w:r>
          </w:p>
        </w:tc>
        <w:tc>
          <w:tcPr>
            <w:tcW w:w="983" w:type="dxa"/>
            <w:vMerge w:val="restart"/>
            <w:tcBorders>
              <w:top w:val="single" w:sz="4" w:space="0" w:color="auto"/>
              <w:left w:val="single" w:sz="4" w:space="0" w:color="auto"/>
              <w:right w:val="single" w:sz="4" w:space="0" w:color="000000"/>
            </w:tcBorders>
            <w:shd w:val="clear" w:color="auto" w:fill="auto"/>
          </w:tcPr>
          <w:p w14:paraId="51D342B5" w14:textId="77777777" w:rsidR="00AC2DD5" w:rsidRPr="00946180" w:rsidRDefault="00AC2DD5" w:rsidP="0017772C">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40</w:t>
            </w:r>
          </w:p>
        </w:tc>
      </w:tr>
      <w:tr w:rsidR="00AC2DD5" w:rsidRPr="00946180" w14:paraId="774B7E7F" w14:textId="77777777" w:rsidTr="00AC2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134" w:type="dxa"/>
            <w:vMerge/>
            <w:tcBorders>
              <w:left w:val="single" w:sz="4" w:space="0" w:color="000000"/>
              <w:right w:val="single" w:sz="4" w:space="0" w:color="000000"/>
            </w:tcBorders>
            <w:shd w:val="clear" w:color="auto" w:fill="auto"/>
          </w:tcPr>
          <w:p w14:paraId="50B1D5BA"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850" w:type="dxa"/>
            <w:vMerge/>
            <w:tcBorders>
              <w:left w:val="single" w:sz="4" w:space="0" w:color="000000"/>
              <w:right w:val="single" w:sz="4" w:space="0" w:color="auto"/>
            </w:tcBorders>
            <w:shd w:val="clear" w:color="auto" w:fill="auto"/>
          </w:tcPr>
          <w:p w14:paraId="51610FC5" w14:textId="77777777" w:rsidR="00AC2DD5" w:rsidRDefault="00AC2DD5" w:rsidP="0017772C">
            <w:pPr>
              <w:spacing w:before="120" w:after="120"/>
              <w:ind w:right="5"/>
              <w:jc w:val="both"/>
              <w:rPr>
                <w:rFonts w:asciiTheme="majorHAnsi" w:hAnsiTheme="majorHAnsi" w:cstheme="majorHAnsi"/>
                <w:spacing w:val="1"/>
                <w:sz w:val="18"/>
                <w:szCs w:val="18"/>
                <w:lang w:val="en-GB"/>
              </w:rPr>
            </w:pPr>
          </w:p>
        </w:tc>
        <w:tc>
          <w:tcPr>
            <w:tcW w:w="3269" w:type="dxa"/>
            <w:vMerge/>
            <w:tcBorders>
              <w:left w:val="single" w:sz="4" w:space="0" w:color="auto"/>
              <w:right w:val="single" w:sz="4" w:space="0" w:color="auto"/>
            </w:tcBorders>
            <w:shd w:val="clear" w:color="auto" w:fill="auto"/>
          </w:tcPr>
          <w:p w14:paraId="13A6D22F" w14:textId="77777777" w:rsidR="00AC2DD5" w:rsidRPr="00D3732B" w:rsidRDefault="00AC2DD5" w:rsidP="008320C0">
            <w:pPr>
              <w:spacing w:before="120" w:after="120"/>
              <w:ind w:right="5"/>
              <w:rPr>
                <w:rFonts w:asciiTheme="majorHAnsi" w:hAnsiTheme="majorHAnsi" w:cstheme="majorHAnsi"/>
                <w:spacing w:val="1"/>
                <w:sz w:val="18"/>
                <w:szCs w:val="18"/>
                <w:lang w:val="en-GB"/>
              </w:rPr>
            </w:pPr>
          </w:p>
        </w:tc>
        <w:tc>
          <w:tcPr>
            <w:tcW w:w="1551" w:type="dxa"/>
            <w:tcBorders>
              <w:top w:val="single" w:sz="4" w:space="0" w:color="000000"/>
              <w:left w:val="single" w:sz="4" w:space="0" w:color="auto"/>
              <w:bottom w:val="single" w:sz="4" w:space="0" w:color="000000"/>
              <w:right w:val="single" w:sz="4" w:space="0" w:color="auto"/>
            </w:tcBorders>
            <w:shd w:val="clear" w:color="auto" w:fill="auto"/>
          </w:tcPr>
          <w:p w14:paraId="01DA11D8" w14:textId="370BCBF1" w:rsidR="00AC2DD5" w:rsidRPr="00FC393D" w:rsidRDefault="00AC2DD5" w:rsidP="0017772C">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3 - 4</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25EB4ADC" w14:textId="22E7898B" w:rsidR="00AC2DD5" w:rsidRDefault="00AC2DD5" w:rsidP="0017772C">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20</w:t>
            </w:r>
          </w:p>
        </w:tc>
        <w:tc>
          <w:tcPr>
            <w:tcW w:w="983" w:type="dxa"/>
            <w:vMerge/>
            <w:tcBorders>
              <w:left w:val="single" w:sz="4" w:space="0" w:color="auto"/>
              <w:right w:val="single" w:sz="4" w:space="0" w:color="000000"/>
            </w:tcBorders>
            <w:shd w:val="clear" w:color="auto" w:fill="auto"/>
          </w:tcPr>
          <w:p w14:paraId="4EA3A706" w14:textId="77777777" w:rsidR="00AC2DD5" w:rsidRDefault="00AC2DD5" w:rsidP="0017772C">
            <w:pPr>
              <w:spacing w:before="120" w:after="120"/>
              <w:ind w:right="5"/>
              <w:jc w:val="center"/>
              <w:rPr>
                <w:rFonts w:asciiTheme="majorHAnsi" w:hAnsiTheme="majorHAnsi" w:cstheme="majorHAnsi"/>
                <w:spacing w:val="1"/>
                <w:sz w:val="18"/>
                <w:szCs w:val="18"/>
                <w:lang w:val="en-GB"/>
              </w:rPr>
            </w:pPr>
          </w:p>
        </w:tc>
      </w:tr>
      <w:tr w:rsidR="00AC2DD5" w:rsidRPr="00946180" w14:paraId="055EA5A4" w14:textId="77777777" w:rsidTr="00AC2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134" w:type="dxa"/>
            <w:vMerge/>
            <w:tcBorders>
              <w:left w:val="single" w:sz="4" w:space="0" w:color="000000"/>
              <w:right w:val="single" w:sz="4" w:space="0" w:color="000000"/>
            </w:tcBorders>
            <w:shd w:val="clear" w:color="auto" w:fill="auto"/>
          </w:tcPr>
          <w:p w14:paraId="2640CEDE"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850" w:type="dxa"/>
            <w:vMerge/>
            <w:tcBorders>
              <w:left w:val="single" w:sz="4" w:space="0" w:color="000000"/>
              <w:right w:val="single" w:sz="4" w:space="0" w:color="auto"/>
            </w:tcBorders>
            <w:shd w:val="clear" w:color="auto" w:fill="auto"/>
          </w:tcPr>
          <w:p w14:paraId="1F4CD086" w14:textId="77777777" w:rsidR="00AC2DD5" w:rsidRDefault="00AC2DD5" w:rsidP="0017772C">
            <w:pPr>
              <w:spacing w:before="120" w:after="120"/>
              <w:ind w:right="5"/>
              <w:jc w:val="both"/>
              <w:rPr>
                <w:rFonts w:asciiTheme="majorHAnsi" w:hAnsiTheme="majorHAnsi" w:cstheme="majorHAnsi"/>
                <w:spacing w:val="1"/>
                <w:sz w:val="18"/>
                <w:szCs w:val="18"/>
                <w:lang w:val="en-GB"/>
              </w:rPr>
            </w:pPr>
          </w:p>
        </w:tc>
        <w:tc>
          <w:tcPr>
            <w:tcW w:w="3269" w:type="dxa"/>
            <w:vMerge/>
            <w:tcBorders>
              <w:left w:val="single" w:sz="4" w:space="0" w:color="auto"/>
              <w:right w:val="single" w:sz="4" w:space="0" w:color="auto"/>
            </w:tcBorders>
            <w:shd w:val="clear" w:color="auto" w:fill="auto"/>
          </w:tcPr>
          <w:p w14:paraId="60E86F28" w14:textId="77777777" w:rsidR="00AC2DD5" w:rsidRPr="00D3732B" w:rsidRDefault="00AC2DD5" w:rsidP="008320C0">
            <w:pPr>
              <w:spacing w:before="120" w:after="120"/>
              <w:ind w:right="5"/>
              <w:rPr>
                <w:rFonts w:asciiTheme="majorHAnsi" w:hAnsiTheme="majorHAnsi" w:cstheme="majorHAnsi"/>
                <w:spacing w:val="1"/>
                <w:sz w:val="18"/>
                <w:szCs w:val="18"/>
                <w:lang w:val="en-GB"/>
              </w:rPr>
            </w:pPr>
          </w:p>
        </w:tc>
        <w:tc>
          <w:tcPr>
            <w:tcW w:w="1551" w:type="dxa"/>
            <w:tcBorders>
              <w:top w:val="single" w:sz="4" w:space="0" w:color="000000"/>
              <w:left w:val="single" w:sz="4" w:space="0" w:color="auto"/>
              <w:bottom w:val="single" w:sz="4" w:space="0" w:color="000000"/>
              <w:right w:val="single" w:sz="4" w:space="0" w:color="auto"/>
            </w:tcBorders>
            <w:shd w:val="clear" w:color="auto" w:fill="auto"/>
          </w:tcPr>
          <w:p w14:paraId="4FFD4080" w14:textId="1DB75AF3" w:rsidR="00AC2DD5" w:rsidRPr="00FC393D" w:rsidRDefault="00AC2DD5" w:rsidP="0017772C">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5 - 6</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41A048B7" w14:textId="1F85E77A" w:rsidR="00AC2DD5" w:rsidRDefault="00AC2DD5" w:rsidP="0017772C">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30</w:t>
            </w:r>
          </w:p>
        </w:tc>
        <w:tc>
          <w:tcPr>
            <w:tcW w:w="983" w:type="dxa"/>
            <w:vMerge/>
            <w:tcBorders>
              <w:left w:val="single" w:sz="4" w:space="0" w:color="auto"/>
              <w:right w:val="single" w:sz="4" w:space="0" w:color="000000"/>
            </w:tcBorders>
            <w:shd w:val="clear" w:color="auto" w:fill="auto"/>
          </w:tcPr>
          <w:p w14:paraId="3D1262A2" w14:textId="77777777" w:rsidR="00AC2DD5" w:rsidRDefault="00AC2DD5" w:rsidP="0017772C">
            <w:pPr>
              <w:spacing w:before="120" w:after="120"/>
              <w:ind w:right="5"/>
              <w:jc w:val="center"/>
              <w:rPr>
                <w:rFonts w:asciiTheme="majorHAnsi" w:hAnsiTheme="majorHAnsi" w:cstheme="majorHAnsi"/>
                <w:spacing w:val="1"/>
                <w:sz w:val="18"/>
                <w:szCs w:val="18"/>
                <w:lang w:val="en-GB"/>
              </w:rPr>
            </w:pPr>
          </w:p>
        </w:tc>
      </w:tr>
      <w:tr w:rsidR="00AC2DD5" w:rsidRPr="00946180" w14:paraId="3772F871" w14:textId="77777777" w:rsidTr="00AC2D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1134" w:type="dxa"/>
            <w:vMerge/>
            <w:tcBorders>
              <w:left w:val="single" w:sz="4" w:space="0" w:color="000000"/>
              <w:bottom w:val="single" w:sz="4" w:space="0" w:color="auto"/>
              <w:right w:val="single" w:sz="4" w:space="0" w:color="000000"/>
            </w:tcBorders>
            <w:shd w:val="clear" w:color="auto" w:fill="auto"/>
          </w:tcPr>
          <w:p w14:paraId="2826D04F" w14:textId="77777777" w:rsidR="00AC2DD5" w:rsidRPr="00FC393D" w:rsidRDefault="00AC2DD5" w:rsidP="0017772C">
            <w:pPr>
              <w:spacing w:before="120" w:after="120"/>
              <w:ind w:right="5"/>
              <w:jc w:val="both"/>
              <w:rPr>
                <w:rFonts w:asciiTheme="majorHAnsi" w:hAnsiTheme="majorHAnsi" w:cstheme="majorHAnsi"/>
                <w:spacing w:val="1"/>
                <w:sz w:val="18"/>
                <w:szCs w:val="18"/>
                <w:lang w:val="en-GB"/>
              </w:rPr>
            </w:pPr>
          </w:p>
        </w:tc>
        <w:tc>
          <w:tcPr>
            <w:tcW w:w="850" w:type="dxa"/>
            <w:vMerge/>
            <w:tcBorders>
              <w:left w:val="single" w:sz="4" w:space="0" w:color="000000"/>
              <w:bottom w:val="single" w:sz="4" w:space="0" w:color="auto"/>
              <w:right w:val="single" w:sz="4" w:space="0" w:color="auto"/>
            </w:tcBorders>
            <w:shd w:val="clear" w:color="auto" w:fill="auto"/>
          </w:tcPr>
          <w:p w14:paraId="74123CDD" w14:textId="77777777" w:rsidR="00AC2DD5" w:rsidRDefault="00AC2DD5" w:rsidP="0017772C">
            <w:pPr>
              <w:spacing w:before="120" w:after="120"/>
              <w:ind w:right="5"/>
              <w:jc w:val="both"/>
              <w:rPr>
                <w:rFonts w:asciiTheme="majorHAnsi" w:hAnsiTheme="majorHAnsi" w:cstheme="majorHAnsi"/>
                <w:spacing w:val="1"/>
                <w:sz w:val="18"/>
                <w:szCs w:val="18"/>
                <w:lang w:val="en-GB"/>
              </w:rPr>
            </w:pPr>
          </w:p>
        </w:tc>
        <w:tc>
          <w:tcPr>
            <w:tcW w:w="3269" w:type="dxa"/>
            <w:vMerge/>
            <w:tcBorders>
              <w:left w:val="single" w:sz="4" w:space="0" w:color="auto"/>
              <w:bottom w:val="single" w:sz="4" w:space="0" w:color="auto"/>
              <w:right w:val="single" w:sz="4" w:space="0" w:color="auto"/>
            </w:tcBorders>
            <w:shd w:val="clear" w:color="auto" w:fill="auto"/>
          </w:tcPr>
          <w:p w14:paraId="7AB5E623" w14:textId="77777777" w:rsidR="00AC2DD5" w:rsidRPr="00D3732B" w:rsidRDefault="00AC2DD5" w:rsidP="008320C0">
            <w:pPr>
              <w:spacing w:before="120" w:after="120"/>
              <w:ind w:right="5"/>
              <w:rPr>
                <w:rFonts w:asciiTheme="majorHAnsi" w:hAnsiTheme="majorHAnsi" w:cstheme="majorHAnsi"/>
                <w:spacing w:val="1"/>
                <w:sz w:val="18"/>
                <w:szCs w:val="18"/>
                <w:lang w:val="en-GB"/>
              </w:rPr>
            </w:pPr>
          </w:p>
        </w:tc>
        <w:tc>
          <w:tcPr>
            <w:tcW w:w="1551" w:type="dxa"/>
            <w:tcBorders>
              <w:top w:val="single" w:sz="4" w:space="0" w:color="000000"/>
              <w:left w:val="single" w:sz="4" w:space="0" w:color="auto"/>
              <w:bottom w:val="single" w:sz="4" w:space="0" w:color="000000"/>
              <w:right w:val="single" w:sz="4" w:space="0" w:color="auto"/>
            </w:tcBorders>
            <w:shd w:val="clear" w:color="auto" w:fill="auto"/>
          </w:tcPr>
          <w:p w14:paraId="2F4AD6A9" w14:textId="04D1A0F9" w:rsidR="00AC2DD5" w:rsidRPr="00FC393D" w:rsidRDefault="00AC2DD5" w:rsidP="0017772C">
            <w:pPr>
              <w:spacing w:before="120" w:after="120"/>
              <w:ind w:right="5"/>
              <w:jc w:val="center"/>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7 or more</w:t>
            </w:r>
          </w:p>
        </w:tc>
        <w:tc>
          <w:tcPr>
            <w:tcW w:w="859" w:type="dxa"/>
            <w:tcBorders>
              <w:top w:val="single" w:sz="4" w:space="0" w:color="auto"/>
              <w:left w:val="single" w:sz="4" w:space="0" w:color="auto"/>
              <w:bottom w:val="single" w:sz="4" w:space="0" w:color="auto"/>
              <w:right w:val="single" w:sz="4" w:space="0" w:color="auto"/>
            </w:tcBorders>
            <w:shd w:val="clear" w:color="auto" w:fill="auto"/>
          </w:tcPr>
          <w:p w14:paraId="6519D44E" w14:textId="54A6D7F1" w:rsidR="00AC2DD5" w:rsidRDefault="00AC2DD5" w:rsidP="0017772C">
            <w:pPr>
              <w:spacing w:before="120" w:after="120"/>
              <w:ind w:right="5"/>
              <w:jc w:val="both"/>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40</w:t>
            </w:r>
          </w:p>
        </w:tc>
        <w:tc>
          <w:tcPr>
            <w:tcW w:w="983" w:type="dxa"/>
            <w:vMerge/>
            <w:tcBorders>
              <w:left w:val="single" w:sz="4" w:space="0" w:color="auto"/>
              <w:bottom w:val="single" w:sz="4" w:space="0" w:color="auto"/>
              <w:right w:val="single" w:sz="4" w:space="0" w:color="000000"/>
            </w:tcBorders>
            <w:shd w:val="clear" w:color="auto" w:fill="auto"/>
          </w:tcPr>
          <w:p w14:paraId="2AF2960B" w14:textId="77777777" w:rsidR="00AC2DD5" w:rsidRDefault="00AC2DD5" w:rsidP="0017772C">
            <w:pPr>
              <w:spacing w:before="120" w:after="120"/>
              <w:ind w:right="5"/>
              <w:jc w:val="center"/>
              <w:rPr>
                <w:rFonts w:asciiTheme="majorHAnsi" w:hAnsiTheme="majorHAnsi" w:cstheme="majorHAnsi"/>
                <w:spacing w:val="1"/>
                <w:sz w:val="18"/>
                <w:szCs w:val="18"/>
                <w:lang w:val="en-GB"/>
              </w:rPr>
            </w:pPr>
          </w:p>
        </w:tc>
      </w:tr>
    </w:tbl>
    <w:p w14:paraId="600EB8E9" w14:textId="1C3C5556" w:rsidR="002D562D" w:rsidRPr="00722F80"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722F80">
        <w:rPr>
          <w:rFonts w:asciiTheme="majorHAnsi" w:hAnsiTheme="majorHAnsi" w:cstheme="majorHAnsi"/>
          <w:color w:val="000000"/>
          <w:spacing w:val="1"/>
          <w:sz w:val="22"/>
          <w:szCs w:val="22"/>
          <w:lang w:val="en-GB"/>
        </w:rPr>
        <w:t>Selection of the most economically advantageous Tenders (</w:t>
      </w:r>
      <w:r w:rsidR="005D66CC" w:rsidRPr="00722F80">
        <w:rPr>
          <w:rFonts w:asciiTheme="majorHAnsi" w:hAnsiTheme="majorHAnsi" w:cstheme="majorHAnsi"/>
          <w:color w:val="000000"/>
          <w:spacing w:val="1"/>
          <w:sz w:val="22"/>
          <w:szCs w:val="22"/>
          <w:lang w:val="en-GB"/>
        </w:rPr>
        <w:t>MEAT</w:t>
      </w:r>
      <w:r w:rsidRPr="00722F80">
        <w:rPr>
          <w:rFonts w:asciiTheme="majorHAnsi" w:hAnsiTheme="majorHAnsi" w:cstheme="majorHAnsi"/>
          <w:color w:val="000000"/>
          <w:spacing w:val="1"/>
          <w:sz w:val="22"/>
          <w:szCs w:val="22"/>
          <w:lang w:val="en-GB"/>
        </w:rPr>
        <w:t xml:space="preserve">) will determine the basis for evaluating the criteria for each individual Tender according to the delivery of the requested Tenderer's documentation, in the appropriate form: </w:t>
      </w:r>
      <w:r w:rsidR="005D66CC" w:rsidRPr="00722F80">
        <w:rPr>
          <w:rFonts w:asciiTheme="majorHAnsi" w:hAnsiTheme="majorHAnsi" w:cstheme="majorHAnsi"/>
          <w:b/>
          <w:color w:val="000000"/>
          <w:spacing w:val="1"/>
          <w:sz w:val="22"/>
          <w:szCs w:val="22"/>
          <w:lang w:val="en-GB"/>
        </w:rPr>
        <w:t>MEAT</w:t>
      </w:r>
      <w:r w:rsidRPr="00722F80">
        <w:rPr>
          <w:rFonts w:asciiTheme="majorHAnsi" w:hAnsiTheme="majorHAnsi" w:cstheme="majorHAnsi"/>
          <w:b/>
          <w:color w:val="000000"/>
          <w:spacing w:val="1"/>
          <w:sz w:val="22"/>
          <w:szCs w:val="22"/>
          <w:lang w:val="en-GB"/>
        </w:rPr>
        <w:t xml:space="preserve"> = P + E</w:t>
      </w:r>
      <w:r w:rsidR="00AC2DD5">
        <w:rPr>
          <w:rFonts w:asciiTheme="majorHAnsi" w:hAnsiTheme="majorHAnsi" w:cstheme="majorHAnsi"/>
          <w:b/>
          <w:color w:val="000000"/>
          <w:spacing w:val="1"/>
          <w:sz w:val="22"/>
          <w:szCs w:val="22"/>
          <w:lang w:val="en-GB"/>
        </w:rPr>
        <w:t xml:space="preserve"> </w:t>
      </w:r>
      <w:r w:rsidR="008320C0">
        <w:rPr>
          <w:rFonts w:asciiTheme="majorHAnsi" w:hAnsiTheme="majorHAnsi" w:cstheme="majorHAnsi"/>
          <w:b/>
          <w:color w:val="000000"/>
          <w:spacing w:val="1"/>
          <w:sz w:val="22"/>
          <w:szCs w:val="22"/>
          <w:lang w:val="en-GB"/>
        </w:rPr>
        <w:t>+</w:t>
      </w:r>
      <w:r w:rsidR="00AC2DD5">
        <w:rPr>
          <w:rFonts w:asciiTheme="majorHAnsi" w:hAnsiTheme="majorHAnsi" w:cstheme="majorHAnsi"/>
          <w:b/>
          <w:color w:val="000000"/>
          <w:spacing w:val="1"/>
          <w:sz w:val="22"/>
          <w:szCs w:val="22"/>
          <w:lang w:val="en-GB"/>
        </w:rPr>
        <w:t xml:space="preserve"> </w:t>
      </w:r>
      <w:r w:rsidR="008320C0">
        <w:rPr>
          <w:rFonts w:asciiTheme="majorHAnsi" w:hAnsiTheme="majorHAnsi" w:cstheme="majorHAnsi"/>
          <w:b/>
          <w:color w:val="000000"/>
          <w:spacing w:val="1"/>
          <w:sz w:val="22"/>
          <w:szCs w:val="22"/>
          <w:lang w:val="en-GB"/>
        </w:rPr>
        <w:t>C</w:t>
      </w:r>
      <w:r w:rsidRPr="00722F80">
        <w:rPr>
          <w:rFonts w:asciiTheme="majorHAnsi" w:hAnsiTheme="majorHAnsi" w:cstheme="majorHAnsi"/>
          <w:color w:val="000000"/>
          <w:spacing w:val="1"/>
          <w:sz w:val="22"/>
          <w:szCs w:val="22"/>
          <w:lang w:val="en-GB"/>
        </w:rPr>
        <w:t>.</w:t>
      </w:r>
    </w:p>
    <w:p w14:paraId="752A2EF7" w14:textId="77777777" w:rsidR="00AC2DD5" w:rsidRDefault="00AC2DD5" w:rsidP="0036041F">
      <w:pPr>
        <w:spacing w:before="120" w:after="120"/>
        <w:jc w:val="both"/>
        <w:rPr>
          <w:rFonts w:asciiTheme="majorHAnsi" w:hAnsiTheme="majorHAnsi" w:cstheme="majorHAnsi"/>
          <w:b/>
          <w:color w:val="000000"/>
          <w:sz w:val="22"/>
          <w:szCs w:val="22"/>
          <w:u w:val="single"/>
          <w:lang w:val="en-GB"/>
        </w:rPr>
      </w:pPr>
    </w:p>
    <w:p w14:paraId="5E1E0958" w14:textId="77777777" w:rsidR="00AC2DD5" w:rsidRDefault="00AC2DD5" w:rsidP="0036041F">
      <w:pPr>
        <w:spacing w:before="120" w:after="120"/>
        <w:jc w:val="both"/>
        <w:rPr>
          <w:rFonts w:asciiTheme="majorHAnsi" w:hAnsiTheme="majorHAnsi" w:cstheme="majorHAnsi"/>
          <w:b/>
          <w:color w:val="000000"/>
          <w:sz w:val="22"/>
          <w:szCs w:val="22"/>
          <w:u w:val="single"/>
          <w:lang w:val="en-GB"/>
        </w:rPr>
      </w:pPr>
    </w:p>
    <w:p w14:paraId="2FD8A4BA" w14:textId="6E58C22C" w:rsidR="002D562D" w:rsidRPr="00722F80" w:rsidRDefault="002D562D" w:rsidP="0036041F">
      <w:pPr>
        <w:spacing w:before="120" w:after="120"/>
        <w:jc w:val="both"/>
        <w:rPr>
          <w:rFonts w:asciiTheme="majorHAnsi" w:hAnsiTheme="majorHAnsi" w:cstheme="majorHAnsi"/>
          <w:sz w:val="22"/>
          <w:szCs w:val="22"/>
          <w:lang w:val="en-GB"/>
        </w:rPr>
      </w:pPr>
      <w:r w:rsidRPr="00722F80">
        <w:rPr>
          <w:rFonts w:asciiTheme="majorHAnsi" w:hAnsiTheme="majorHAnsi" w:cstheme="majorHAnsi"/>
          <w:b/>
          <w:color w:val="000000"/>
          <w:sz w:val="22"/>
          <w:szCs w:val="22"/>
          <w:u w:val="single"/>
          <w:lang w:val="en-GB"/>
        </w:rPr>
        <w:lastRenderedPageBreak/>
        <w:t xml:space="preserve">For the purposes of establishing the grounds set out in item 5. </w:t>
      </w:r>
      <w:r w:rsidRPr="00722F80">
        <w:rPr>
          <w:rFonts w:asciiTheme="majorHAnsi" w:hAnsiTheme="majorHAnsi" w:cstheme="majorHAnsi"/>
          <w:b/>
          <w:sz w:val="22"/>
          <w:szCs w:val="22"/>
          <w:u w:val="single"/>
          <w:lang w:val="en-GB"/>
        </w:rPr>
        <w:t>of the Invitation to Tender the Tenderer shall submit the following in his/her Tender:</w:t>
      </w:r>
    </w:p>
    <w:p w14:paraId="2534447F" w14:textId="0937CCB1" w:rsidR="002D562D" w:rsidRPr="00722F80"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722F80">
        <w:rPr>
          <w:rFonts w:asciiTheme="majorHAnsi" w:hAnsiTheme="majorHAnsi" w:cstheme="majorHAnsi"/>
          <w:b/>
          <w:i/>
          <w:color w:val="000000"/>
          <w:sz w:val="22"/>
          <w:szCs w:val="22"/>
          <w:lang w:val="en-GB"/>
        </w:rPr>
        <w:t xml:space="preserve"> List of projects verifying </w:t>
      </w:r>
      <w:r w:rsidR="00033F09" w:rsidRPr="00722F80">
        <w:rPr>
          <w:rFonts w:asciiTheme="majorHAnsi" w:hAnsiTheme="majorHAnsi" w:cstheme="majorHAnsi"/>
          <w:b/>
          <w:i/>
          <w:color w:val="000000"/>
          <w:sz w:val="22"/>
          <w:szCs w:val="22"/>
          <w:lang w:val="en-GB"/>
        </w:rPr>
        <w:t xml:space="preserve">the </w:t>
      </w:r>
      <w:r w:rsidRPr="00722F80">
        <w:rPr>
          <w:rFonts w:asciiTheme="majorHAnsi" w:hAnsiTheme="majorHAnsi" w:cstheme="majorHAnsi"/>
          <w:b/>
          <w:i/>
          <w:color w:val="000000"/>
          <w:sz w:val="22"/>
          <w:szCs w:val="22"/>
          <w:lang w:val="en-GB"/>
        </w:rPr>
        <w:t>expertise of the Tenderer</w:t>
      </w:r>
      <w:r w:rsidRPr="00722F80">
        <w:rPr>
          <w:rFonts w:asciiTheme="majorHAnsi" w:hAnsiTheme="majorHAnsi" w:cstheme="majorHAnsi"/>
          <w:b/>
          <w:i/>
          <w:sz w:val="22"/>
          <w:szCs w:val="22"/>
          <w:lang w:val="en-GB"/>
        </w:rPr>
        <w:t xml:space="preserve"> </w:t>
      </w:r>
      <w:r w:rsidRPr="00722F80">
        <w:rPr>
          <w:rFonts w:asciiTheme="majorHAnsi" w:hAnsiTheme="majorHAnsi" w:cstheme="majorHAnsi"/>
          <w:bCs/>
          <w:iCs/>
          <w:sz w:val="22"/>
          <w:szCs w:val="22"/>
          <w:lang w:val="en-GB"/>
        </w:rPr>
        <w:t>(Annex 2)</w:t>
      </w:r>
      <w:r w:rsidRPr="00722F80">
        <w:rPr>
          <w:rFonts w:asciiTheme="majorHAnsi" w:hAnsiTheme="majorHAnsi" w:cstheme="majorHAnsi"/>
          <w:bCs/>
          <w:i/>
          <w:sz w:val="22"/>
          <w:szCs w:val="22"/>
          <w:lang w:val="en-GB"/>
        </w:rPr>
        <w:t>;</w:t>
      </w:r>
      <w:r w:rsidR="00763606" w:rsidRPr="00722F80">
        <w:rPr>
          <w:rFonts w:asciiTheme="majorHAnsi" w:hAnsiTheme="majorHAnsi" w:cstheme="majorHAnsi"/>
          <w:bCs/>
          <w:i/>
          <w:sz w:val="22"/>
          <w:szCs w:val="22"/>
          <w:lang w:val="en-GB"/>
        </w:rPr>
        <w:t xml:space="preserve"> and</w:t>
      </w:r>
    </w:p>
    <w:p w14:paraId="5DB87C65" w14:textId="3D9D1899" w:rsidR="00763606" w:rsidRPr="00722F80"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722F80">
        <w:rPr>
          <w:rFonts w:asciiTheme="majorHAnsi" w:hAnsiTheme="majorHAnsi" w:cstheme="majorHAnsi"/>
          <w:b/>
          <w:i/>
          <w:color w:val="000000"/>
          <w:sz w:val="22"/>
          <w:szCs w:val="22"/>
          <w:lang w:val="en-GB"/>
        </w:rPr>
        <w:t xml:space="preserve">Cost statement </w:t>
      </w:r>
      <w:r w:rsidRPr="00722F80">
        <w:rPr>
          <w:rFonts w:asciiTheme="majorHAnsi" w:hAnsiTheme="majorHAnsi" w:cstheme="majorHAnsi"/>
          <w:bCs/>
          <w:i/>
          <w:color w:val="000000"/>
          <w:sz w:val="22"/>
          <w:szCs w:val="22"/>
          <w:lang w:val="en-GB"/>
        </w:rPr>
        <w:t>(Annex 3)</w:t>
      </w:r>
      <w:r w:rsidRPr="00722F80">
        <w:rPr>
          <w:rFonts w:asciiTheme="majorHAnsi" w:hAnsiTheme="majorHAnsi" w:cstheme="majorHAnsi"/>
          <w:bCs/>
          <w:spacing w:val="-6"/>
          <w:sz w:val="22"/>
          <w:szCs w:val="22"/>
          <w:lang w:val="en-GB"/>
        </w:rPr>
        <w:t>.</w:t>
      </w:r>
    </w:p>
    <w:p w14:paraId="1E652CBD" w14:textId="77777777" w:rsidR="00AC2DD5" w:rsidRDefault="00AC2DD5" w:rsidP="002D562D">
      <w:pPr>
        <w:shd w:val="clear" w:color="auto" w:fill="FFFFFF"/>
        <w:spacing w:before="120" w:after="120"/>
        <w:ind w:right="1382"/>
        <w:rPr>
          <w:rFonts w:asciiTheme="majorHAnsi" w:hAnsiTheme="majorHAnsi" w:cstheme="majorHAnsi"/>
          <w:b/>
          <w:color w:val="000000"/>
          <w:spacing w:val="-1"/>
          <w:sz w:val="22"/>
          <w:szCs w:val="22"/>
          <w:lang w:val="en-GB"/>
        </w:rPr>
      </w:pPr>
    </w:p>
    <w:p w14:paraId="34A7A054" w14:textId="24F321D2" w:rsidR="002D562D" w:rsidRPr="00722F80" w:rsidRDefault="002D562D" w:rsidP="002D562D">
      <w:pPr>
        <w:shd w:val="clear" w:color="auto" w:fill="FFFFFF"/>
        <w:spacing w:before="120" w:after="120"/>
        <w:ind w:right="1382"/>
        <w:rPr>
          <w:rFonts w:asciiTheme="majorHAnsi" w:hAnsiTheme="majorHAnsi" w:cstheme="majorHAnsi"/>
          <w:sz w:val="22"/>
          <w:szCs w:val="22"/>
          <w:lang w:val="en-GB"/>
        </w:rPr>
      </w:pPr>
      <w:r w:rsidRPr="00722F80">
        <w:rPr>
          <w:rFonts w:asciiTheme="majorHAnsi" w:hAnsiTheme="majorHAnsi" w:cstheme="majorHAnsi"/>
          <w:b/>
          <w:color w:val="000000"/>
          <w:spacing w:val="-1"/>
          <w:sz w:val="22"/>
          <w:szCs w:val="22"/>
          <w:lang w:val="en-GB"/>
        </w:rPr>
        <w:t>6. DUE DATE, CONTRACT AND TERMS OF PAYMENT</w:t>
      </w:r>
    </w:p>
    <w:p w14:paraId="1DBE7E86" w14:textId="417E9148" w:rsidR="002D562D" w:rsidRPr="00722F80" w:rsidRDefault="002D562D" w:rsidP="002D562D">
      <w:pPr>
        <w:spacing w:before="120" w:after="120"/>
        <w:rPr>
          <w:rFonts w:asciiTheme="majorHAnsi" w:hAnsiTheme="majorHAnsi" w:cstheme="majorHAnsi"/>
          <w:color w:val="000000"/>
          <w:sz w:val="22"/>
          <w:szCs w:val="22"/>
          <w:lang w:val="en-GB"/>
        </w:rPr>
      </w:pPr>
      <w:r w:rsidRPr="00722F80">
        <w:rPr>
          <w:rFonts w:asciiTheme="majorHAnsi" w:hAnsiTheme="majorHAnsi" w:cstheme="majorHAnsi"/>
          <w:color w:val="000000"/>
          <w:sz w:val="22"/>
          <w:szCs w:val="22"/>
          <w:lang w:val="en-GB"/>
        </w:rPr>
        <w:t>The Contract will be made in US dollars</w:t>
      </w:r>
      <w:r w:rsidR="00F37CDB" w:rsidRPr="00722F80">
        <w:rPr>
          <w:rFonts w:asciiTheme="majorHAnsi" w:hAnsiTheme="majorHAnsi" w:cstheme="majorHAnsi"/>
          <w:color w:val="000000"/>
          <w:sz w:val="22"/>
          <w:szCs w:val="22"/>
          <w:lang w:val="en-GB"/>
        </w:rPr>
        <w:t xml:space="preserve"> currency</w:t>
      </w:r>
      <w:r w:rsidRPr="00722F80">
        <w:rPr>
          <w:rFonts w:asciiTheme="majorHAnsi" w:hAnsiTheme="majorHAnsi" w:cstheme="majorHAnsi"/>
          <w:color w:val="000000"/>
          <w:sz w:val="22"/>
          <w:szCs w:val="22"/>
          <w:lang w:val="en-GB"/>
        </w:rPr>
        <w:t>.</w:t>
      </w:r>
    </w:p>
    <w:p w14:paraId="6E3AFDE6" w14:textId="6BDB9584" w:rsidR="005C2869" w:rsidRPr="00722F80" w:rsidRDefault="005C2869" w:rsidP="005C2869">
      <w:pPr>
        <w:spacing w:before="120" w:after="120"/>
        <w:rPr>
          <w:rFonts w:asciiTheme="majorHAnsi" w:hAnsiTheme="majorHAnsi" w:cstheme="majorHAnsi"/>
          <w:color w:val="000000"/>
          <w:sz w:val="22"/>
          <w:szCs w:val="22"/>
          <w:lang w:val="en-GB"/>
        </w:rPr>
      </w:pPr>
      <w:r w:rsidRPr="00722F80">
        <w:rPr>
          <w:rFonts w:asciiTheme="majorHAnsi" w:hAnsiTheme="majorHAnsi" w:cstheme="majorHAnsi"/>
          <w:color w:val="000000"/>
          <w:sz w:val="22"/>
          <w:szCs w:val="22"/>
          <w:lang w:val="en-GB"/>
        </w:rPr>
        <w:t xml:space="preserve">If </w:t>
      </w:r>
      <w:r w:rsidR="00033F09" w:rsidRPr="00722F80">
        <w:rPr>
          <w:rFonts w:asciiTheme="majorHAnsi" w:hAnsiTheme="majorHAnsi" w:cstheme="majorHAnsi"/>
          <w:color w:val="000000"/>
          <w:sz w:val="22"/>
          <w:szCs w:val="22"/>
          <w:lang w:val="en-GB"/>
        </w:rPr>
        <w:t xml:space="preserve">the </w:t>
      </w:r>
      <w:r w:rsidRPr="00722F80">
        <w:rPr>
          <w:rFonts w:asciiTheme="majorHAnsi" w:hAnsiTheme="majorHAnsi" w:cstheme="majorHAnsi"/>
          <w:color w:val="000000"/>
          <w:sz w:val="22"/>
          <w:szCs w:val="22"/>
          <w:lang w:val="en-GB"/>
        </w:rPr>
        <w:t xml:space="preserve">selected contractor is </w:t>
      </w:r>
      <w:r w:rsidR="00033F09" w:rsidRPr="00722F80">
        <w:rPr>
          <w:rFonts w:asciiTheme="majorHAnsi" w:hAnsiTheme="majorHAnsi" w:cstheme="majorHAnsi"/>
          <w:color w:val="000000"/>
          <w:sz w:val="22"/>
          <w:szCs w:val="22"/>
          <w:lang w:val="en-GB"/>
        </w:rPr>
        <w:t xml:space="preserve">a </w:t>
      </w:r>
      <w:r w:rsidRPr="00722F80">
        <w:rPr>
          <w:rFonts w:asciiTheme="majorHAnsi" w:hAnsiTheme="majorHAnsi" w:cstheme="majorHAnsi"/>
          <w:color w:val="000000"/>
          <w:sz w:val="22"/>
          <w:szCs w:val="22"/>
          <w:lang w:val="en-GB"/>
        </w:rPr>
        <w:t xml:space="preserve">resident of the Republic of Croatia, payments </w:t>
      </w:r>
      <w:r w:rsidR="005E6CBB" w:rsidRPr="00722F80">
        <w:rPr>
          <w:rFonts w:asciiTheme="majorHAnsi" w:hAnsiTheme="majorHAnsi" w:cstheme="majorHAnsi"/>
          <w:color w:val="000000"/>
          <w:sz w:val="22"/>
          <w:szCs w:val="22"/>
          <w:lang w:val="en-GB"/>
        </w:rPr>
        <w:t>shall be made</w:t>
      </w:r>
      <w:r w:rsidRPr="00722F80">
        <w:rPr>
          <w:rFonts w:asciiTheme="majorHAnsi" w:hAnsiTheme="majorHAnsi" w:cstheme="majorHAnsi"/>
          <w:color w:val="000000"/>
          <w:sz w:val="22"/>
          <w:szCs w:val="22"/>
          <w:lang w:val="en-GB"/>
        </w:rPr>
        <w:t xml:space="preserve"> in EUR currency, using the exchange rate of conversion of the OTP Bank d.o.o. valid on the date of payment.</w:t>
      </w:r>
    </w:p>
    <w:p w14:paraId="20BE5EFF" w14:textId="0EB4781B" w:rsidR="005C2869" w:rsidRPr="00722F80" w:rsidRDefault="005C2869" w:rsidP="005C2869">
      <w:pPr>
        <w:spacing w:before="120" w:after="120"/>
        <w:rPr>
          <w:rFonts w:asciiTheme="majorHAnsi" w:hAnsiTheme="majorHAnsi" w:cstheme="majorHAnsi"/>
          <w:sz w:val="22"/>
          <w:szCs w:val="22"/>
          <w:lang w:val="en-GB"/>
        </w:rPr>
      </w:pPr>
      <w:bookmarkStart w:id="9" w:name="_Hlk95381251"/>
      <w:r w:rsidRPr="00722F80">
        <w:rPr>
          <w:rFonts w:asciiTheme="majorHAnsi" w:hAnsiTheme="majorHAnsi" w:cstheme="majorHAnsi"/>
          <w:sz w:val="22"/>
          <w:szCs w:val="22"/>
          <w:lang w:val="en-GB"/>
        </w:rPr>
        <w:t xml:space="preserve">All legal </w:t>
      </w:r>
      <w:r w:rsidR="00033F09" w:rsidRPr="00722F80">
        <w:rPr>
          <w:rFonts w:asciiTheme="majorHAnsi" w:hAnsiTheme="majorHAnsi" w:cstheme="majorHAnsi"/>
          <w:sz w:val="22"/>
          <w:szCs w:val="22"/>
          <w:lang w:val="en-GB"/>
        </w:rPr>
        <w:t>persons</w:t>
      </w:r>
      <w:r w:rsidRPr="00722F80">
        <w:rPr>
          <w:rFonts w:asciiTheme="majorHAnsi" w:hAnsiTheme="majorHAnsi" w:cstheme="majorHAnsi"/>
          <w:sz w:val="22"/>
          <w:szCs w:val="22"/>
          <w:lang w:val="en-GB"/>
        </w:rPr>
        <w:t xml:space="preserve"> (in or our VAT system) and natural </w:t>
      </w:r>
      <w:r w:rsidR="00033F09" w:rsidRPr="00722F80">
        <w:rPr>
          <w:rFonts w:asciiTheme="majorHAnsi" w:hAnsiTheme="majorHAnsi" w:cstheme="majorHAnsi"/>
          <w:sz w:val="22"/>
          <w:szCs w:val="22"/>
          <w:lang w:val="en-GB"/>
        </w:rPr>
        <w:t>persons who</w:t>
      </w:r>
      <w:r w:rsidRPr="00722F80">
        <w:rPr>
          <w:rFonts w:asciiTheme="majorHAnsi" w:hAnsiTheme="majorHAnsi" w:cstheme="majorHAnsi"/>
          <w:sz w:val="22"/>
          <w:szCs w:val="22"/>
          <w:lang w:val="en-GB"/>
        </w:rPr>
        <w:t xml:space="preserve"> are in VAT system are required to issue invoice/s.</w:t>
      </w:r>
    </w:p>
    <w:bookmarkEnd w:id="9"/>
    <w:p w14:paraId="682B5C56" w14:textId="4B2D6E23" w:rsidR="005C2869" w:rsidRPr="00722F80" w:rsidRDefault="005C2869" w:rsidP="005C2869">
      <w:pPr>
        <w:spacing w:before="120" w:after="120"/>
        <w:rPr>
          <w:rFonts w:asciiTheme="majorHAnsi" w:hAnsiTheme="majorHAnsi" w:cstheme="majorHAnsi"/>
          <w:color w:val="000000"/>
          <w:sz w:val="22"/>
          <w:szCs w:val="22"/>
          <w:lang w:val="en-GB"/>
        </w:rPr>
      </w:pPr>
      <w:r w:rsidRPr="00722F80">
        <w:rPr>
          <w:rFonts w:asciiTheme="majorHAnsi" w:hAnsiTheme="majorHAnsi" w:cstheme="majorHAnsi"/>
          <w:sz w:val="22"/>
          <w:szCs w:val="22"/>
          <w:lang w:val="en-GB"/>
        </w:rPr>
        <w:t>The Client shall make payment/s to the</w:t>
      </w:r>
      <w:r w:rsidR="00F37CDB" w:rsidRPr="00722F80">
        <w:rPr>
          <w:rFonts w:asciiTheme="majorHAnsi" w:hAnsiTheme="majorHAnsi" w:cstheme="majorHAnsi"/>
          <w:sz w:val="22"/>
          <w:szCs w:val="22"/>
          <w:lang w:val="en-GB"/>
        </w:rPr>
        <w:t xml:space="preserve"> selected </w:t>
      </w:r>
      <w:r w:rsidRPr="00722F80">
        <w:rPr>
          <w:rFonts w:asciiTheme="majorHAnsi" w:hAnsiTheme="majorHAnsi" w:cstheme="majorHAnsi"/>
          <w:sz w:val="22"/>
          <w:szCs w:val="22"/>
          <w:lang w:val="en-GB"/>
        </w:rPr>
        <w:t xml:space="preserve">Tenderer </w:t>
      </w:r>
      <w:r w:rsidRPr="00722F80">
        <w:rPr>
          <w:rFonts w:asciiTheme="majorHAnsi" w:hAnsiTheme="majorHAnsi" w:cstheme="majorHAnsi"/>
          <w:color w:val="000000"/>
          <w:sz w:val="22"/>
          <w:szCs w:val="22"/>
          <w:lang w:val="en-GB"/>
        </w:rPr>
        <w:t>upon the submission of the deliverable/s and its validation by PAP/RAC.</w:t>
      </w:r>
    </w:p>
    <w:p w14:paraId="3008A383" w14:textId="4C7D3ECA" w:rsidR="002D562D" w:rsidRPr="00722F80" w:rsidRDefault="002D562D" w:rsidP="002D562D">
      <w:pPr>
        <w:spacing w:before="120" w:after="120"/>
        <w:rPr>
          <w:rFonts w:asciiTheme="majorHAnsi" w:hAnsiTheme="majorHAnsi" w:cstheme="majorHAnsi"/>
          <w:color w:val="000000"/>
          <w:sz w:val="22"/>
          <w:szCs w:val="22"/>
          <w:lang w:val="en-GB"/>
        </w:rPr>
      </w:pPr>
      <w:r w:rsidRPr="00722F80">
        <w:rPr>
          <w:rFonts w:asciiTheme="majorHAnsi" w:hAnsiTheme="majorHAnsi" w:cstheme="majorHAnsi"/>
          <w:color w:val="000000"/>
          <w:sz w:val="22"/>
          <w:szCs w:val="22"/>
          <w:lang w:val="en-GB"/>
        </w:rPr>
        <w:t xml:space="preserve">The Client shall make the payment to the </w:t>
      </w:r>
      <w:r w:rsidR="00F37CDB" w:rsidRPr="00722F80">
        <w:rPr>
          <w:rFonts w:asciiTheme="majorHAnsi" w:hAnsiTheme="majorHAnsi" w:cstheme="majorHAnsi"/>
          <w:color w:val="000000"/>
          <w:sz w:val="22"/>
          <w:szCs w:val="22"/>
          <w:lang w:val="en-GB"/>
        </w:rPr>
        <w:t xml:space="preserve">selected </w:t>
      </w:r>
      <w:r w:rsidRPr="00722F80">
        <w:rPr>
          <w:rFonts w:asciiTheme="majorHAnsi" w:hAnsiTheme="majorHAnsi" w:cstheme="majorHAnsi"/>
          <w:color w:val="000000"/>
          <w:sz w:val="22"/>
          <w:szCs w:val="22"/>
          <w:lang w:val="en-GB"/>
        </w:rPr>
        <w:t>Tenderer in two instalments i.e.:</w:t>
      </w:r>
    </w:p>
    <w:p w14:paraId="5675A158" w14:textId="2D3F02F3" w:rsidR="002D562D" w:rsidRPr="00722F80" w:rsidRDefault="008320C0" w:rsidP="002D562D">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7</w:t>
      </w:r>
      <w:r w:rsidR="002D562D" w:rsidRPr="00722F80">
        <w:rPr>
          <w:rFonts w:asciiTheme="majorHAnsi" w:hAnsiTheme="majorHAnsi" w:cstheme="majorHAnsi"/>
          <w:color w:val="000000"/>
          <w:sz w:val="22"/>
          <w:szCs w:val="22"/>
          <w:lang w:val="en-GB"/>
        </w:rPr>
        <w:t>0% upon submission and clearance by PAP/RAC of the deliverable</w:t>
      </w:r>
      <w:r>
        <w:rPr>
          <w:rFonts w:asciiTheme="majorHAnsi" w:hAnsiTheme="majorHAnsi" w:cstheme="majorHAnsi"/>
          <w:color w:val="000000"/>
          <w:sz w:val="22"/>
          <w:szCs w:val="22"/>
          <w:lang w:val="en-GB"/>
        </w:rPr>
        <w:t>s</w:t>
      </w:r>
      <w:r w:rsidR="002D562D" w:rsidRPr="00722F80">
        <w:rPr>
          <w:rFonts w:asciiTheme="majorHAnsi" w:hAnsiTheme="majorHAnsi" w:cstheme="majorHAnsi"/>
          <w:color w:val="000000"/>
          <w:sz w:val="22"/>
          <w:szCs w:val="22"/>
          <w:lang w:val="en-GB"/>
        </w:rPr>
        <w:t xml:space="preserve"> </w:t>
      </w:r>
      <w:r w:rsidR="00F84B87" w:rsidRPr="00722F80">
        <w:rPr>
          <w:rFonts w:asciiTheme="majorHAnsi" w:hAnsiTheme="majorHAnsi" w:cstheme="majorHAnsi"/>
          <w:color w:val="000000"/>
          <w:sz w:val="22"/>
          <w:szCs w:val="22"/>
          <w:lang w:val="en-GB"/>
        </w:rPr>
        <w:t>1</w:t>
      </w:r>
      <w:r>
        <w:rPr>
          <w:rFonts w:asciiTheme="majorHAnsi" w:hAnsiTheme="majorHAnsi" w:cstheme="majorHAnsi"/>
          <w:color w:val="000000"/>
          <w:sz w:val="22"/>
          <w:szCs w:val="22"/>
          <w:lang w:val="en-GB"/>
        </w:rPr>
        <w:t xml:space="preserve"> and 2</w:t>
      </w:r>
      <w:r w:rsidR="00F84B87" w:rsidRPr="00722F80">
        <w:rPr>
          <w:rFonts w:asciiTheme="majorHAnsi" w:hAnsiTheme="majorHAnsi" w:cstheme="majorHAnsi"/>
          <w:color w:val="000000"/>
          <w:sz w:val="22"/>
          <w:szCs w:val="22"/>
          <w:lang w:val="en-GB"/>
        </w:rPr>
        <w:t>.</w:t>
      </w:r>
    </w:p>
    <w:p w14:paraId="79BB951E" w14:textId="33458C3D" w:rsidR="002D562D" w:rsidRPr="00722F80" w:rsidRDefault="008320C0" w:rsidP="00EC5230">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3</w:t>
      </w:r>
      <w:r w:rsidR="002D562D" w:rsidRPr="00722F80">
        <w:rPr>
          <w:rFonts w:asciiTheme="majorHAnsi" w:hAnsiTheme="majorHAnsi" w:cstheme="majorHAnsi"/>
          <w:color w:val="000000"/>
          <w:sz w:val="22"/>
          <w:szCs w:val="22"/>
          <w:lang w:val="en-GB"/>
        </w:rPr>
        <w:t xml:space="preserve">0% upon submission and clearance by PAP/RAC of deliverable </w:t>
      </w:r>
      <w:r w:rsidR="00033F09" w:rsidRPr="00722F80">
        <w:rPr>
          <w:rFonts w:asciiTheme="majorHAnsi" w:hAnsiTheme="majorHAnsi" w:cstheme="majorHAnsi"/>
          <w:color w:val="000000"/>
          <w:sz w:val="22"/>
          <w:szCs w:val="22"/>
          <w:lang w:val="en-GB"/>
        </w:rPr>
        <w:t>3</w:t>
      </w:r>
      <w:r w:rsidR="00501289" w:rsidRPr="00722F80">
        <w:rPr>
          <w:rFonts w:asciiTheme="majorHAnsi" w:hAnsiTheme="majorHAnsi" w:cstheme="majorHAnsi"/>
          <w:color w:val="000000"/>
          <w:sz w:val="22"/>
          <w:szCs w:val="22"/>
          <w:lang w:val="en-GB"/>
        </w:rPr>
        <w:t>.</w:t>
      </w:r>
      <w:r w:rsidR="002D562D" w:rsidRPr="00722F80">
        <w:rPr>
          <w:rFonts w:asciiTheme="majorHAnsi" w:hAnsiTheme="majorHAnsi" w:cstheme="majorHAnsi"/>
          <w:color w:val="000000"/>
          <w:sz w:val="22"/>
          <w:szCs w:val="22"/>
          <w:lang w:val="en-GB"/>
        </w:rPr>
        <w:t xml:space="preserve"> </w:t>
      </w:r>
    </w:p>
    <w:p w14:paraId="2C548C2C" w14:textId="77777777" w:rsidR="002D562D" w:rsidRPr="00722F80" w:rsidRDefault="002D562D" w:rsidP="002D562D">
      <w:pPr>
        <w:shd w:val="clear" w:color="auto" w:fill="FFFFFF"/>
        <w:spacing w:before="120" w:after="120"/>
        <w:jc w:val="both"/>
        <w:rPr>
          <w:rFonts w:asciiTheme="majorHAnsi" w:hAnsiTheme="majorHAnsi" w:cstheme="majorHAnsi"/>
          <w:color w:val="000000"/>
          <w:sz w:val="22"/>
          <w:szCs w:val="22"/>
          <w:lang w:val="en-GB"/>
        </w:rPr>
      </w:pPr>
      <w:r w:rsidRPr="00722F80">
        <w:rPr>
          <w:rFonts w:asciiTheme="majorHAnsi" w:hAnsiTheme="majorHAnsi" w:cstheme="majorHAnsi"/>
          <w:color w:val="000000"/>
          <w:sz w:val="22"/>
          <w:szCs w:val="22"/>
          <w:lang w:val="en-GB"/>
        </w:rPr>
        <w:t>An advance payment by the Client is not permitted.</w:t>
      </w:r>
    </w:p>
    <w:p w14:paraId="7E42020C" w14:textId="77777777" w:rsidR="002D562D" w:rsidRPr="00722F80" w:rsidRDefault="002D562D" w:rsidP="002D562D">
      <w:pPr>
        <w:pStyle w:val="Heading1"/>
        <w:rPr>
          <w:rFonts w:asciiTheme="majorHAnsi" w:hAnsiTheme="majorHAnsi" w:cstheme="majorHAnsi"/>
          <w:lang w:val="en-GB"/>
        </w:rPr>
      </w:pPr>
      <w:r w:rsidRPr="00722F80">
        <w:rPr>
          <w:rFonts w:asciiTheme="majorHAnsi" w:hAnsiTheme="majorHAnsi" w:cstheme="majorHAnsi"/>
          <w:lang w:val="en-GB"/>
        </w:rPr>
        <w:br w:type="page"/>
      </w:r>
      <w:bookmarkStart w:id="10" w:name="_Hlk28468335"/>
      <w:r w:rsidRPr="00722F80">
        <w:rPr>
          <w:rFonts w:asciiTheme="majorHAnsi" w:hAnsiTheme="majorHAnsi" w:cstheme="majorHAnsi"/>
          <w:lang w:val="en-GB"/>
        </w:rPr>
        <w:lastRenderedPageBreak/>
        <w:t>Annex 1</w:t>
      </w:r>
    </w:p>
    <w:p w14:paraId="45557747" w14:textId="77777777" w:rsidR="002D562D" w:rsidRPr="00722F80" w:rsidRDefault="002D562D" w:rsidP="002D562D">
      <w:pPr>
        <w:pStyle w:val="Heading1"/>
        <w:rPr>
          <w:rFonts w:asciiTheme="majorHAnsi" w:hAnsiTheme="majorHAnsi" w:cstheme="majorHAnsi"/>
          <w:lang w:val="en-GB"/>
        </w:rPr>
      </w:pPr>
      <w:r w:rsidRPr="00722F80">
        <w:rPr>
          <w:rFonts w:asciiTheme="majorHAnsi" w:hAnsiTheme="majorHAnsi" w:cstheme="majorHAnsi"/>
          <w:lang w:val="en-GB"/>
        </w:rPr>
        <w:t>Tender sheet</w:t>
      </w:r>
    </w:p>
    <w:p w14:paraId="3FAA021D" w14:textId="77777777" w:rsidR="002D562D" w:rsidRPr="00722F80" w:rsidRDefault="002D562D" w:rsidP="002D562D">
      <w:pPr>
        <w:shd w:val="clear" w:color="auto" w:fill="FFFFFF"/>
        <w:spacing w:before="120" w:after="120"/>
        <w:jc w:val="both"/>
        <w:rPr>
          <w:rFonts w:asciiTheme="majorHAnsi" w:hAnsiTheme="majorHAnsi" w:cstheme="majorHAnsi"/>
          <w:szCs w:val="22"/>
          <w:lang w:val="en-GB"/>
        </w:rPr>
      </w:pPr>
      <w:r w:rsidRPr="00722F80">
        <w:rPr>
          <w:rFonts w:asciiTheme="majorHAnsi" w:hAnsiTheme="majorHAnsi" w:cstheme="majorHAnsi"/>
          <w:b/>
          <w:color w:val="000000"/>
          <w:spacing w:val="-4"/>
          <w:szCs w:val="22"/>
          <w:lang w:val="en-GB"/>
        </w:rPr>
        <w:t>Tender date</w:t>
      </w:r>
      <w:r w:rsidRPr="00722F80">
        <w:rPr>
          <w:rFonts w:asciiTheme="majorHAnsi" w:hAnsiTheme="majorHAnsi" w:cstheme="majorHAnsi"/>
          <w:color w:val="000000"/>
          <w:spacing w:val="-4"/>
          <w:szCs w:val="22"/>
          <w:lang w:val="en-GB"/>
        </w:rPr>
        <w:t>:</w:t>
      </w:r>
      <w:r w:rsidRPr="00722F80">
        <w:rPr>
          <w:rFonts w:asciiTheme="majorHAnsi" w:hAnsiTheme="majorHAnsi" w:cstheme="majorHAnsi"/>
          <w:color w:val="000000"/>
          <w:spacing w:val="-4"/>
          <w:szCs w:val="22"/>
          <w:lang w:val="en-GB"/>
        </w:rPr>
        <w:tab/>
      </w:r>
      <w:r w:rsidRPr="00722F80">
        <w:rPr>
          <w:rFonts w:asciiTheme="majorHAnsi" w:hAnsiTheme="majorHAnsi" w:cstheme="majorHAnsi"/>
          <w:color w:val="000000"/>
          <w:spacing w:val="-4"/>
          <w:szCs w:val="22"/>
          <w:lang w:val="en-GB"/>
        </w:rPr>
        <w:tab/>
      </w:r>
      <w:r w:rsidRPr="00722F80">
        <w:rPr>
          <w:rFonts w:asciiTheme="majorHAnsi" w:hAnsiTheme="majorHAnsi" w:cstheme="majorHAnsi"/>
          <w:color w:val="000000"/>
          <w:spacing w:val="-4"/>
          <w:szCs w:val="22"/>
          <w:lang w:val="en-GB"/>
        </w:rPr>
        <w:tab/>
      </w:r>
      <w:r w:rsidRPr="00722F80">
        <w:rPr>
          <w:rFonts w:asciiTheme="majorHAnsi" w:hAnsiTheme="majorHAnsi" w:cstheme="majorHAnsi"/>
          <w:color w:val="000000"/>
          <w:spacing w:val="-4"/>
          <w:szCs w:val="22"/>
          <w:lang w:val="en-GB"/>
        </w:rPr>
        <w:tab/>
      </w:r>
      <w:r w:rsidRPr="00722F80">
        <w:rPr>
          <w:rFonts w:asciiTheme="majorHAnsi" w:hAnsiTheme="majorHAnsi" w:cstheme="majorHAnsi"/>
          <w:color w:val="000000"/>
          <w:spacing w:val="-4"/>
          <w:szCs w:val="22"/>
          <w:lang w:val="en-GB"/>
        </w:rPr>
        <w:tab/>
      </w:r>
      <w:r w:rsidRPr="00722F80">
        <w:rPr>
          <w:rFonts w:asciiTheme="majorHAnsi" w:hAnsiTheme="majorHAnsi" w:cstheme="majorHAnsi"/>
          <w:color w:val="000000"/>
          <w:spacing w:val="-4"/>
          <w:szCs w:val="22"/>
          <w:lang w:val="en-GB"/>
        </w:rPr>
        <w:tab/>
      </w:r>
      <w:r w:rsidRPr="00722F80">
        <w:rPr>
          <w:rFonts w:asciiTheme="majorHAnsi" w:hAnsiTheme="majorHAnsi" w:cstheme="majorHAnsi"/>
          <w:color w:val="000000"/>
          <w:spacing w:val="-4"/>
          <w:szCs w:val="22"/>
          <w:lang w:val="en-GB"/>
        </w:rPr>
        <w:tab/>
      </w:r>
      <w:r w:rsidRPr="00722F80">
        <w:rPr>
          <w:rFonts w:asciiTheme="majorHAnsi" w:hAnsiTheme="majorHAnsi" w:cstheme="majorHAnsi"/>
          <w:color w:val="000000"/>
          <w:spacing w:val="-4"/>
          <w:szCs w:val="22"/>
          <w:lang w:val="en-GB"/>
        </w:rPr>
        <w:tab/>
      </w:r>
    </w:p>
    <w:p w14:paraId="781FDD16" w14:textId="77777777" w:rsidR="002D562D" w:rsidRPr="00722F80" w:rsidRDefault="002D562D" w:rsidP="002D562D">
      <w:pPr>
        <w:shd w:val="clear" w:color="auto" w:fill="FFFFFF"/>
        <w:spacing w:before="120" w:after="120"/>
        <w:rPr>
          <w:rFonts w:asciiTheme="majorHAnsi" w:hAnsiTheme="majorHAnsi" w:cstheme="majorHAnsi"/>
          <w:szCs w:val="22"/>
          <w:lang w:val="en-GB"/>
        </w:rPr>
      </w:pPr>
      <w:r w:rsidRPr="00722F80">
        <w:rPr>
          <w:rFonts w:asciiTheme="majorHAnsi" w:hAnsiTheme="majorHAnsi" w:cstheme="majorHAnsi"/>
          <w:b/>
          <w:bCs/>
          <w:color w:val="000000"/>
          <w:szCs w:val="22"/>
          <w:lang w:val="en-GB"/>
        </w:rPr>
        <w:t>Contracting Authority</w:t>
      </w:r>
      <w:r w:rsidRPr="00722F80">
        <w:rPr>
          <w:rFonts w:asciiTheme="majorHAnsi" w:hAnsiTheme="majorHAnsi" w:cstheme="majorHAnsi"/>
          <w:color w:val="000000"/>
          <w:szCs w:val="22"/>
          <w:lang w:val="en-GB"/>
        </w:rPr>
        <w:t>: Priority Actions Programme Regional Activity Centre (PAP/RAC)</w:t>
      </w:r>
      <w:r w:rsidRPr="00722F80">
        <w:rPr>
          <w:rFonts w:asciiTheme="majorHAnsi" w:hAnsiTheme="majorHAnsi" w:cstheme="majorHAnsi"/>
          <w:szCs w:val="22"/>
          <w:lang w:val="en-GB"/>
        </w:rPr>
        <w:t xml:space="preserve">, </w:t>
      </w:r>
      <w:r w:rsidRPr="00722F80">
        <w:rPr>
          <w:rFonts w:asciiTheme="majorHAnsi" w:hAnsiTheme="majorHAnsi" w:cstheme="majorHAnsi"/>
          <w:color w:val="000000"/>
          <w:spacing w:val="-1"/>
          <w:szCs w:val="22"/>
          <w:lang w:val="en-GB"/>
        </w:rPr>
        <w:t>Kraj Sv. Ivana 11, 21000 Split, Croatia</w:t>
      </w:r>
    </w:p>
    <w:p w14:paraId="0DEDC33A" w14:textId="6D53ED22" w:rsidR="005D66CC" w:rsidRPr="00722F80" w:rsidRDefault="002D562D" w:rsidP="005D66CC">
      <w:pPr>
        <w:spacing w:after="120"/>
        <w:jc w:val="both"/>
        <w:rPr>
          <w:rFonts w:asciiTheme="majorHAnsi" w:hAnsiTheme="majorHAnsi" w:cstheme="majorHAnsi"/>
          <w:color w:val="000000"/>
          <w:szCs w:val="22"/>
          <w:lang w:val="en-GB"/>
        </w:rPr>
      </w:pPr>
      <w:r w:rsidRPr="00722F80">
        <w:rPr>
          <w:rFonts w:asciiTheme="majorHAnsi" w:hAnsiTheme="majorHAnsi" w:cstheme="majorHAnsi"/>
          <w:b/>
          <w:bCs/>
          <w:spacing w:val="5"/>
          <w:szCs w:val="22"/>
          <w:lang w:val="en-GB"/>
        </w:rPr>
        <w:t>Subject of procurement</w:t>
      </w:r>
      <w:r w:rsidRPr="00722F80">
        <w:rPr>
          <w:rFonts w:asciiTheme="majorHAnsi" w:hAnsiTheme="majorHAnsi" w:cstheme="majorHAnsi"/>
          <w:color w:val="000000"/>
          <w:szCs w:val="22"/>
          <w:lang w:val="en-GB"/>
        </w:rPr>
        <w:t xml:space="preserve">: </w:t>
      </w:r>
      <w:r w:rsidR="005118C0">
        <w:rPr>
          <w:rFonts w:asciiTheme="majorHAnsi" w:hAnsiTheme="majorHAnsi" w:cstheme="majorHAnsi"/>
          <w:color w:val="000000"/>
          <w:szCs w:val="22"/>
          <w:lang w:val="en-GB"/>
        </w:rPr>
        <w:t>Tenderer</w:t>
      </w:r>
      <w:r w:rsidR="000A3AF5" w:rsidRPr="00185D52">
        <w:rPr>
          <w:rFonts w:asciiTheme="majorHAnsi" w:hAnsiTheme="majorHAnsi" w:cstheme="majorHAnsi"/>
          <w:color w:val="000000"/>
          <w:szCs w:val="22"/>
          <w:lang w:val="en-GB"/>
        </w:rPr>
        <w:t xml:space="preserve"> to </w:t>
      </w:r>
      <w:r w:rsidR="00804BE8" w:rsidRPr="00185D52">
        <w:rPr>
          <w:rFonts w:asciiTheme="majorHAnsi" w:hAnsiTheme="majorHAnsi" w:cstheme="majorHAnsi"/>
          <w:color w:val="000000"/>
          <w:szCs w:val="22"/>
          <w:lang w:val="en-GB"/>
        </w:rPr>
        <w:t xml:space="preserve">provide </w:t>
      </w:r>
      <w:r w:rsidR="008320C0" w:rsidRPr="00185D52">
        <w:rPr>
          <w:rFonts w:asciiTheme="majorHAnsi" w:hAnsiTheme="majorHAnsi" w:cstheme="majorHAnsi"/>
          <w:color w:val="000000"/>
          <w:szCs w:val="22"/>
          <w:lang w:val="en-GB"/>
        </w:rPr>
        <w:t xml:space="preserve">a Study </w:t>
      </w:r>
      <w:r w:rsidR="008320C0" w:rsidRPr="00185D52">
        <w:rPr>
          <w:rFonts w:asciiTheme="majorHAnsi" w:hAnsiTheme="majorHAnsi" w:cstheme="majorHAnsi"/>
          <w:sz w:val="22"/>
          <w:szCs w:val="22"/>
          <w:lang w:val="en-GB"/>
        </w:rPr>
        <w:t>on risks in investing in LECZ</w:t>
      </w:r>
      <w:r w:rsidR="00033F09" w:rsidRPr="00185D52">
        <w:rPr>
          <w:rFonts w:asciiTheme="majorHAnsi" w:hAnsiTheme="majorHAnsi" w:cstheme="majorHAnsi"/>
          <w:color w:val="000000"/>
          <w:szCs w:val="22"/>
          <w:lang w:val="en-GB"/>
        </w:rPr>
        <w:t xml:space="preserve"> </w:t>
      </w:r>
      <w:r w:rsidR="005D66CC" w:rsidRPr="00185D52">
        <w:rPr>
          <w:rFonts w:asciiTheme="majorHAnsi" w:hAnsiTheme="majorHAnsi" w:cstheme="majorHAnsi"/>
          <w:color w:val="000000"/>
          <w:szCs w:val="22"/>
          <w:lang w:val="en-GB"/>
        </w:rPr>
        <w:t>(GEF</w:t>
      </w:r>
      <w:r w:rsidR="005D66CC" w:rsidRPr="00722F80">
        <w:rPr>
          <w:rFonts w:asciiTheme="majorHAnsi" w:hAnsiTheme="majorHAnsi" w:cstheme="majorHAnsi"/>
          <w:color w:val="000000"/>
          <w:szCs w:val="22"/>
          <w:lang w:val="en-GB"/>
        </w:rPr>
        <w:t xml:space="preserve"> MedProgramme SCCF) </w:t>
      </w:r>
    </w:p>
    <w:p w14:paraId="51CDAFED" w14:textId="25E99B0B" w:rsidR="002D562D" w:rsidRPr="00722F80" w:rsidRDefault="002D562D" w:rsidP="005D66CC">
      <w:pPr>
        <w:spacing w:after="120"/>
        <w:jc w:val="both"/>
        <w:rPr>
          <w:rFonts w:asciiTheme="majorHAnsi" w:hAnsiTheme="majorHAnsi" w:cstheme="majorHAnsi"/>
          <w:b/>
          <w:bCs/>
          <w:color w:val="000000"/>
          <w:spacing w:val="-1"/>
          <w:szCs w:val="22"/>
          <w:lang w:val="en-GB"/>
        </w:rPr>
      </w:pPr>
      <w:r w:rsidRPr="00722F80">
        <w:rPr>
          <w:rFonts w:asciiTheme="majorHAnsi" w:hAnsiTheme="majorHAnsi" w:cstheme="majorHAnsi"/>
          <w:b/>
          <w:bCs/>
          <w:color w:val="000000"/>
          <w:spacing w:val="-1"/>
          <w:szCs w:val="22"/>
          <w:lang w:val="en-GB"/>
        </w:rPr>
        <w:t>Tenderer information</w:t>
      </w:r>
      <w:r w:rsidR="007F45FD" w:rsidRPr="00722F80">
        <w:rPr>
          <w:rFonts w:asciiTheme="majorHAnsi" w:hAnsiTheme="majorHAnsi" w:cstheme="majorHAnsi"/>
          <w:b/>
          <w:bCs/>
          <w:color w:val="000000"/>
          <w:spacing w:val="-1"/>
          <w:szCs w:val="22"/>
          <w:lang w:val="en-GB"/>
        </w:rPr>
        <w:t> </w:t>
      </w:r>
      <w:r w:rsidRPr="00722F80">
        <w:rPr>
          <w:rFonts w:asciiTheme="majorHAnsi" w:hAnsiTheme="majorHAnsi" w:cstheme="majorHAnsi"/>
          <w:b/>
          <w:bCs/>
          <w:color w:val="000000"/>
          <w:spacing w:val="-1"/>
          <w:szCs w:val="22"/>
          <w:lang w:val="en-GB"/>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2D562D" w:rsidRPr="00722F80" w14:paraId="20E3FD0E" w14:textId="77777777" w:rsidTr="00445AA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AE2FD73" w14:textId="77777777" w:rsidR="002D562D" w:rsidRPr="00722F80" w:rsidRDefault="002D562D" w:rsidP="00445AAA">
            <w:pPr>
              <w:shd w:val="clear" w:color="auto" w:fill="FFFFFF"/>
              <w:spacing w:before="120" w:after="120"/>
              <w:ind w:hanging="10"/>
              <w:rPr>
                <w:rFonts w:asciiTheme="majorHAnsi" w:hAnsiTheme="majorHAnsi" w:cstheme="majorHAnsi"/>
                <w:b/>
                <w:bCs/>
                <w:szCs w:val="22"/>
                <w:lang w:val="en-GB"/>
              </w:rPr>
            </w:pPr>
            <w:r w:rsidRPr="00722F80">
              <w:rPr>
                <w:rFonts w:asciiTheme="majorHAnsi" w:hAnsiTheme="majorHAnsi" w:cstheme="majorHAnsi"/>
                <w:b/>
                <w:bCs/>
                <w:color w:val="000000"/>
                <w:spacing w:val="-2"/>
                <w:szCs w:val="22"/>
                <w:lang w:val="en-GB"/>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1220343" w14:textId="77777777" w:rsidR="002D562D" w:rsidRPr="00722F80" w:rsidRDefault="002D562D" w:rsidP="00445AAA">
            <w:pPr>
              <w:shd w:val="clear" w:color="auto" w:fill="FFFFFF"/>
              <w:spacing w:before="120" w:after="120"/>
              <w:rPr>
                <w:rFonts w:asciiTheme="majorHAnsi" w:hAnsiTheme="majorHAnsi" w:cstheme="majorHAnsi"/>
                <w:szCs w:val="22"/>
                <w:lang w:val="en-GB"/>
              </w:rPr>
            </w:pPr>
          </w:p>
        </w:tc>
      </w:tr>
      <w:tr w:rsidR="002D562D" w:rsidRPr="00722F80" w14:paraId="183AE892" w14:textId="77777777" w:rsidTr="00445AA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56FC226" w14:textId="77777777" w:rsidR="002D562D" w:rsidRPr="00722F80" w:rsidRDefault="002D562D" w:rsidP="00445AAA">
            <w:pPr>
              <w:shd w:val="clear" w:color="auto" w:fill="FFFFFF"/>
              <w:spacing w:before="120" w:after="120"/>
              <w:ind w:hanging="10"/>
              <w:rPr>
                <w:rFonts w:asciiTheme="majorHAnsi" w:hAnsiTheme="majorHAnsi" w:cstheme="majorHAnsi"/>
                <w:b/>
                <w:bCs/>
                <w:szCs w:val="22"/>
                <w:lang w:val="en-GB"/>
              </w:rPr>
            </w:pPr>
            <w:r w:rsidRPr="00722F80">
              <w:rPr>
                <w:rFonts w:asciiTheme="majorHAnsi" w:hAnsiTheme="majorHAnsi" w:cstheme="majorHAnsi"/>
                <w:b/>
                <w:bCs/>
                <w:color w:val="000000"/>
                <w:spacing w:val="-2"/>
                <w:szCs w:val="22"/>
                <w:lang w:val="en-GB"/>
              </w:rPr>
              <w:t>PIN</w:t>
            </w:r>
            <w:r w:rsidRPr="00722F80">
              <w:rPr>
                <w:rStyle w:val="FootnoteReference"/>
                <w:rFonts w:asciiTheme="majorHAnsi" w:hAnsiTheme="majorHAnsi" w:cstheme="majorHAnsi"/>
                <w:b/>
                <w:bCs/>
                <w:color w:val="000000"/>
                <w:spacing w:val="-2"/>
                <w:szCs w:val="22"/>
                <w:lang w:val="en-GB"/>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B781143" w14:textId="77777777" w:rsidR="002D562D" w:rsidRPr="00722F80" w:rsidRDefault="002D562D" w:rsidP="00445AAA">
            <w:pPr>
              <w:shd w:val="clear" w:color="auto" w:fill="FFFFFF"/>
              <w:spacing w:before="120" w:after="120"/>
              <w:rPr>
                <w:rFonts w:asciiTheme="majorHAnsi" w:hAnsiTheme="majorHAnsi" w:cstheme="majorHAnsi"/>
                <w:szCs w:val="22"/>
                <w:lang w:val="en-GB"/>
              </w:rPr>
            </w:pPr>
          </w:p>
        </w:tc>
      </w:tr>
      <w:tr w:rsidR="002D562D" w:rsidRPr="00722F80" w14:paraId="4A18B399" w14:textId="77777777" w:rsidTr="00B83E90">
        <w:trPr>
          <w:trHeight w:hRule="exact" w:val="558"/>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6F8E97B" w14:textId="77777777" w:rsidR="002D562D" w:rsidRPr="00722F80" w:rsidRDefault="002D562D" w:rsidP="00445AAA">
            <w:pPr>
              <w:spacing w:before="120" w:after="120"/>
              <w:rPr>
                <w:rFonts w:asciiTheme="majorHAnsi" w:hAnsiTheme="majorHAnsi" w:cstheme="majorHAnsi"/>
                <w:b/>
                <w:bCs/>
                <w:szCs w:val="22"/>
                <w:lang w:val="en-GB"/>
              </w:rPr>
            </w:pPr>
            <w:r w:rsidRPr="00722F80">
              <w:rPr>
                <w:rFonts w:asciiTheme="majorHAnsi" w:hAnsiTheme="majorHAnsi" w:cstheme="majorHAnsi"/>
                <w:b/>
                <w:bCs/>
                <w:szCs w:val="22"/>
                <w:lang w:val="en-GB"/>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21CF41" w14:textId="77777777" w:rsidR="002D562D" w:rsidRPr="00722F80" w:rsidRDefault="002D562D" w:rsidP="00445AAA">
            <w:pPr>
              <w:shd w:val="clear" w:color="auto" w:fill="FFFFFF"/>
              <w:spacing w:before="120" w:after="120"/>
              <w:rPr>
                <w:rFonts w:asciiTheme="majorHAnsi" w:hAnsiTheme="majorHAnsi" w:cstheme="majorHAnsi"/>
                <w:szCs w:val="22"/>
                <w:lang w:val="en-GB"/>
              </w:rPr>
            </w:pPr>
          </w:p>
        </w:tc>
      </w:tr>
      <w:tr w:rsidR="002D562D" w:rsidRPr="00722F80" w14:paraId="06844207"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AEDD42" w14:textId="77777777" w:rsidR="002D562D" w:rsidRPr="00722F80" w:rsidRDefault="002D562D" w:rsidP="00445AAA">
            <w:pPr>
              <w:spacing w:before="120" w:after="120"/>
              <w:rPr>
                <w:rFonts w:asciiTheme="majorHAnsi" w:hAnsiTheme="majorHAnsi" w:cstheme="majorHAnsi"/>
                <w:b/>
                <w:bCs/>
                <w:szCs w:val="22"/>
                <w:lang w:val="en-GB"/>
              </w:rPr>
            </w:pPr>
            <w:r w:rsidRPr="00722F80">
              <w:rPr>
                <w:rFonts w:asciiTheme="majorHAnsi" w:hAnsiTheme="majorHAnsi" w:cstheme="majorHAnsi"/>
                <w:b/>
                <w:bCs/>
                <w:szCs w:val="22"/>
                <w:lang w:val="en-GB"/>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6AFD4D" w14:textId="77777777" w:rsidR="002D562D" w:rsidRPr="00722F80" w:rsidRDefault="002D562D" w:rsidP="00445AAA">
            <w:pPr>
              <w:shd w:val="clear" w:color="auto" w:fill="FFFFFF"/>
              <w:spacing w:before="120" w:after="120"/>
              <w:rPr>
                <w:rFonts w:asciiTheme="majorHAnsi" w:hAnsiTheme="majorHAnsi" w:cstheme="majorHAnsi"/>
                <w:szCs w:val="22"/>
                <w:lang w:val="en-GB"/>
              </w:rPr>
            </w:pPr>
          </w:p>
        </w:tc>
      </w:tr>
      <w:tr w:rsidR="002D562D" w:rsidRPr="00722F80" w14:paraId="07481E78"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AE5ABDC" w14:textId="77777777" w:rsidR="002D562D" w:rsidRPr="00722F80" w:rsidRDefault="002D562D" w:rsidP="00445AAA">
            <w:pPr>
              <w:spacing w:before="120" w:after="120"/>
              <w:rPr>
                <w:rFonts w:asciiTheme="majorHAnsi" w:hAnsiTheme="majorHAnsi" w:cstheme="majorHAnsi"/>
                <w:b/>
                <w:bCs/>
                <w:szCs w:val="22"/>
                <w:lang w:val="en-GB"/>
              </w:rPr>
            </w:pPr>
            <w:r w:rsidRPr="00722F80">
              <w:rPr>
                <w:rFonts w:asciiTheme="majorHAnsi" w:hAnsiTheme="majorHAnsi" w:cstheme="majorHAnsi"/>
                <w:b/>
                <w:bCs/>
                <w:szCs w:val="22"/>
                <w:lang w:val="en-GB"/>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FEDBEE" w14:textId="77777777" w:rsidR="002D562D" w:rsidRPr="00722F80" w:rsidRDefault="002D562D" w:rsidP="00445AAA">
            <w:pPr>
              <w:shd w:val="clear" w:color="auto" w:fill="FFFFFF"/>
              <w:spacing w:before="120" w:after="120"/>
              <w:rPr>
                <w:rFonts w:asciiTheme="majorHAnsi" w:hAnsiTheme="majorHAnsi" w:cstheme="majorHAnsi"/>
                <w:szCs w:val="22"/>
                <w:lang w:val="en-GB"/>
              </w:rPr>
            </w:pPr>
          </w:p>
        </w:tc>
      </w:tr>
      <w:tr w:rsidR="002D562D" w:rsidRPr="00722F80" w14:paraId="398B7278" w14:textId="77777777" w:rsidTr="00445AA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4C58F5F" w14:textId="77777777" w:rsidR="002D562D" w:rsidRPr="00722F80" w:rsidRDefault="002D562D" w:rsidP="00445AAA">
            <w:pPr>
              <w:spacing w:before="120" w:after="120"/>
              <w:rPr>
                <w:rFonts w:asciiTheme="majorHAnsi" w:hAnsiTheme="majorHAnsi" w:cstheme="majorHAnsi"/>
                <w:b/>
                <w:bCs/>
                <w:szCs w:val="22"/>
                <w:lang w:val="en-GB"/>
              </w:rPr>
            </w:pPr>
            <w:r w:rsidRPr="00722F80">
              <w:rPr>
                <w:rFonts w:asciiTheme="majorHAnsi" w:hAnsiTheme="majorHAnsi" w:cstheme="majorHAnsi"/>
                <w:b/>
                <w:bCs/>
                <w:szCs w:val="22"/>
                <w:lang w:val="en-GB"/>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1A2F0A" w14:textId="77777777" w:rsidR="002D562D" w:rsidRPr="00722F80" w:rsidRDefault="002D562D" w:rsidP="00445AAA">
            <w:pPr>
              <w:shd w:val="clear" w:color="auto" w:fill="FFFFFF"/>
              <w:spacing w:before="120" w:after="120"/>
              <w:rPr>
                <w:rFonts w:asciiTheme="majorHAnsi" w:hAnsiTheme="majorHAnsi" w:cstheme="majorHAnsi"/>
                <w:szCs w:val="22"/>
                <w:lang w:val="en-GB"/>
              </w:rPr>
            </w:pPr>
            <w:r w:rsidRPr="00722F80">
              <w:rPr>
                <w:rFonts w:asciiTheme="majorHAnsi" w:hAnsiTheme="majorHAnsi" w:cstheme="majorHAnsi"/>
                <w:szCs w:val="22"/>
                <w:lang w:val="en-GB"/>
              </w:rPr>
              <w:t xml:space="preserve">      YES                 NO</w:t>
            </w:r>
          </w:p>
        </w:tc>
      </w:tr>
      <w:tr w:rsidR="002D562D" w:rsidRPr="00722F80" w14:paraId="7E38F22E" w14:textId="77777777" w:rsidTr="00445AA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5B32549" w14:textId="77777777" w:rsidR="002D562D" w:rsidRPr="00722F80" w:rsidRDefault="002D562D" w:rsidP="00445AAA">
            <w:pPr>
              <w:spacing w:before="120" w:after="120"/>
              <w:rPr>
                <w:rFonts w:asciiTheme="majorHAnsi" w:hAnsiTheme="majorHAnsi" w:cstheme="majorHAnsi"/>
                <w:b/>
                <w:bCs/>
                <w:szCs w:val="22"/>
                <w:lang w:val="en-GB"/>
              </w:rPr>
            </w:pPr>
            <w:r w:rsidRPr="00722F80">
              <w:rPr>
                <w:rFonts w:asciiTheme="majorHAnsi" w:hAnsiTheme="majorHAnsi" w:cstheme="majorHAnsi"/>
                <w:b/>
                <w:bCs/>
                <w:color w:val="000000"/>
                <w:spacing w:val="-1"/>
                <w:szCs w:val="22"/>
                <w:lang w:val="en-GB"/>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4AA2422" w14:textId="77777777" w:rsidR="002D562D" w:rsidRPr="00722F80" w:rsidRDefault="002D562D" w:rsidP="00445AAA">
            <w:pPr>
              <w:shd w:val="clear" w:color="auto" w:fill="FFFFFF"/>
              <w:spacing w:before="120" w:after="120"/>
              <w:rPr>
                <w:rFonts w:asciiTheme="majorHAnsi" w:hAnsiTheme="majorHAnsi" w:cstheme="majorHAnsi"/>
                <w:szCs w:val="22"/>
                <w:lang w:val="en-GB"/>
              </w:rPr>
            </w:pPr>
          </w:p>
        </w:tc>
      </w:tr>
      <w:tr w:rsidR="002D562D" w:rsidRPr="00722F80" w14:paraId="4FEEDC4A" w14:textId="77777777" w:rsidTr="00445AA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AFDA00" w14:textId="77777777" w:rsidR="002D562D" w:rsidRPr="00722F80" w:rsidRDefault="002D562D" w:rsidP="00445AAA">
            <w:pPr>
              <w:spacing w:before="120" w:after="120"/>
              <w:rPr>
                <w:rFonts w:asciiTheme="majorHAnsi" w:hAnsiTheme="majorHAnsi" w:cstheme="majorHAnsi"/>
                <w:b/>
                <w:bCs/>
                <w:color w:val="000000"/>
                <w:spacing w:val="-1"/>
                <w:szCs w:val="22"/>
                <w:lang w:val="en-GB"/>
              </w:rPr>
            </w:pPr>
            <w:r w:rsidRPr="00722F80">
              <w:rPr>
                <w:rFonts w:asciiTheme="majorHAnsi" w:hAnsiTheme="majorHAnsi" w:cstheme="majorHAnsi"/>
                <w:b/>
                <w:bCs/>
                <w:color w:val="000000"/>
                <w:spacing w:val="-1"/>
                <w:szCs w:val="22"/>
                <w:lang w:val="en-GB"/>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A4B259E" w14:textId="77777777" w:rsidR="002D562D" w:rsidRPr="00722F80" w:rsidRDefault="002D562D" w:rsidP="00445AAA">
            <w:pPr>
              <w:shd w:val="clear" w:color="auto" w:fill="FFFFFF"/>
              <w:spacing w:before="120" w:after="120"/>
              <w:rPr>
                <w:rFonts w:asciiTheme="majorHAnsi" w:hAnsiTheme="majorHAnsi" w:cstheme="majorHAnsi"/>
                <w:szCs w:val="22"/>
                <w:lang w:val="en-GB"/>
              </w:rPr>
            </w:pPr>
          </w:p>
        </w:tc>
      </w:tr>
      <w:tr w:rsidR="002D562D" w:rsidRPr="00722F80" w14:paraId="3FDDE129" w14:textId="77777777" w:rsidTr="00445AA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985DE13" w14:textId="2BE4D91F" w:rsidR="002D562D" w:rsidRPr="00722F80" w:rsidRDefault="002D562D" w:rsidP="00445AAA">
            <w:pPr>
              <w:spacing w:before="120" w:after="120"/>
              <w:rPr>
                <w:rFonts w:asciiTheme="majorHAnsi" w:hAnsiTheme="majorHAnsi" w:cstheme="majorHAnsi"/>
                <w:b/>
                <w:bCs/>
                <w:color w:val="000000"/>
                <w:spacing w:val="-1"/>
                <w:szCs w:val="22"/>
                <w:lang w:val="en-GB"/>
              </w:rPr>
            </w:pPr>
            <w:r w:rsidRPr="00722F80">
              <w:rPr>
                <w:rFonts w:asciiTheme="majorHAnsi" w:hAnsiTheme="majorHAnsi" w:cstheme="majorHAnsi"/>
                <w:b/>
                <w:bCs/>
                <w:color w:val="000000"/>
                <w:spacing w:val="-1"/>
                <w:szCs w:val="22"/>
                <w:lang w:val="en-GB"/>
              </w:rPr>
              <w:t>Mail address</w:t>
            </w:r>
            <w:r w:rsidR="007F45FD" w:rsidRPr="00722F80">
              <w:rPr>
                <w:rFonts w:asciiTheme="majorHAnsi" w:hAnsiTheme="majorHAnsi" w:cstheme="majorHAnsi"/>
                <w:b/>
                <w:bCs/>
                <w:color w:val="000000"/>
                <w:spacing w:val="-1"/>
                <w:szCs w:val="22"/>
                <w:lang w:val="en-GB"/>
              </w:rPr>
              <w:t> </w:t>
            </w:r>
            <w:r w:rsidRPr="00722F80">
              <w:rPr>
                <w:rFonts w:asciiTheme="majorHAnsi" w:hAnsiTheme="majorHAnsi" w:cstheme="majorHAnsi"/>
                <w:b/>
                <w:bCs/>
                <w:color w:val="000000"/>
                <w:spacing w:val="-1"/>
                <w:szCs w:val="22"/>
                <w:lang w:val="en-GB"/>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A5348D" w14:textId="77777777" w:rsidR="002D562D" w:rsidRPr="00722F80" w:rsidRDefault="002D562D" w:rsidP="00445AAA">
            <w:pPr>
              <w:spacing w:before="120" w:after="120"/>
              <w:rPr>
                <w:rFonts w:asciiTheme="majorHAnsi" w:hAnsiTheme="majorHAnsi" w:cstheme="majorHAnsi"/>
                <w:b/>
                <w:bCs/>
                <w:color w:val="000000"/>
                <w:spacing w:val="-1"/>
                <w:szCs w:val="22"/>
                <w:lang w:val="en-GB"/>
              </w:rPr>
            </w:pPr>
          </w:p>
        </w:tc>
      </w:tr>
      <w:tr w:rsidR="002D562D" w:rsidRPr="00722F80" w14:paraId="624FDC97" w14:textId="77777777" w:rsidTr="00445AA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E13B6DD" w14:textId="056A553B" w:rsidR="002D562D" w:rsidRPr="00722F80" w:rsidRDefault="002D562D" w:rsidP="00445AAA">
            <w:pPr>
              <w:spacing w:before="120" w:after="120"/>
              <w:rPr>
                <w:rFonts w:asciiTheme="majorHAnsi" w:hAnsiTheme="majorHAnsi" w:cstheme="majorHAnsi"/>
                <w:b/>
                <w:bCs/>
                <w:color w:val="000000"/>
                <w:spacing w:val="-1"/>
                <w:szCs w:val="22"/>
                <w:lang w:val="en-GB"/>
              </w:rPr>
            </w:pPr>
            <w:r w:rsidRPr="00722F80">
              <w:rPr>
                <w:rFonts w:asciiTheme="majorHAnsi" w:hAnsiTheme="majorHAnsi" w:cstheme="majorHAnsi"/>
                <w:b/>
                <w:bCs/>
                <w:color w:val="000000"/>
                <w:spacing w:val="-1"/>
                <w:szCs w:val="22"/>
                <w:lang w:val="en-GB"/>
              </w:rPr>
              <w:t>E-mail address</w:t>
            </w:r>
            <w:r w:rsidR="007F45FD" w:rsidRPr="00722F80">
              <w:rPr>
                <w:rFonts w:asciiTheme="majorHAnsi" w:hAnsiTheme="majorHAnsi" w:cstheme="majorHAnsi"/>
                <w:b/>
                <w:bCs/>
                <w:color w:val="000000"/>
                <w:spacing w:val="-1"/>
                <w:szCs w:val="22"/>
                <w:lang w:val="en-GB"/>
              </w:rPr>
              <w:t> </w:t>
            </w:r>
            <w:r w:rsidRPr="00722F80">
              <w:rPr>
                <w:rFonts w:asciiTheme="majorHAnsi" w:hAnsiTheme="majorHAnsi" w:cstheme="majorHAnsi"/>
                <w:b/>
                <w:bCs/>
                <w:color w:val="000000"/>
                <w:spacing w:val="-1"/>
                <w:szCs w:val="22"/>
                <w:lang w:val="en-GB"/>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55B1561" w14:textId="77777777" w:rsidR="002D562D" w:rsidRPr="00722F80" w:rsidRDefault="002D562D" w:rsidP="00445AAA">
            <w:pPr>
              <w:spacing w:before="120" w:after="120"/>
              <w:rPr>
                <w:rFonts w:asciiTheme="majorHAnsi" w:hAnsiTheme="majorHAnsi" w:cstheme="majorHAnsi"/>
                <w:b/>
                <w:bCs/>
                <w:color w:val="000000"/>
                <w:spacing w:val="-1"/>
                <w:szCs w:val="22"/>
                <w:lang w:val="en-GB"/>
              </w:rPr>
            </w:pPr>
          </w:p>
        </w:tc>
      </w:tr>
      <w:tr w:rsidR="002D562D" w:rsidRPr="00722F80" w14:paraId="474FD522" w14:textId="77777777" w:rsidTr="00445AA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2CCE6918" w14:textId="5B54592D" w:rsidR="002D562D" w:rsidRPr="00722F80" w:rsidRDefault="002D562D" w:rsidP="00445AAA">
            <w:pPr>
              <w:spacing w:before="120" w:after="120"/>
              <w:rPr>
                <w:rFonts w:asciiTheme="majorHAnsi" w:hAnsiTheme="majorHAnsi" w:cstheme="majorHAnsi"/>
                <w:b/>
                <w:bCs/>
                <w:color w:val="000000"/>
                <w:spacing w:val="-1"/>
                <w:szCs w:val="22"/>
                <w:lang w:val="en-GB"/>
              </w:rPr>
            </w:pPr>
            <w:r w:rsidRPr="00722F80">
              <w:rPr>
                <w:rFonts w:asciiTheme="majorHAnsi" w:hAnsiTheme="majorHAnsi" w:cstheme="majorHAnsi"/>
                <w:b/>
                <w:bCs/>
                <w:color w:val="000000"/>
                <w:spacing w:val="-1"/>
                <w:szCs w:val="22"/>
                <w:lang w:val="en-GB"/>
              </w:rPr>
              <w:t>Telephone number</w:t>
            </w:r>
            <w:r w:rsidR="007F45FD" w:rsidRPr="00722F80">
              <w:rPr>
                <w:rFonts w:asciiTheme="majorHAnsi" w:hAnsiTheme="majorHAnsi" w:cstheme="majorHAnsi"/>
                <w:b/>
                <w:bCs/>
                <w:color w:val="000000"/>
                <w:spacing w:val="-1"/>
                <w:szCs w:val="22"/>
                <w:lang w:val="en-GB"/>
              </w:rPr>
              <w:t> </w:t>
            </w:r>
            <w:r w:rsidRPr="00722F80">
              <w:rPr>
                <w:rFonts w:asciiTheme="majorHAnsi" w:hAnsiTheme="majorHAnsi" w:cstheme="majorHAnsi"/>
                <w:b/>
                <w:bCs/>
                <w:color w:val="000000"/>
                <w:spacing w:val="-1"/>
                <w:szCs w:val="22"/>
                <w:lang w:val="en-GB"/>
              </w:rPr>
              <w:t>:</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05A28834" w14:textId="77777777" w:rsidR="002D562D" w:rsidRPr="00722F80" w:rsidRDefault="002D562D" w:rsidP="00445AAA">
            <w:pPr>
              <w:spacing w:before="120" w:after="120"/>
              <w:rPr>
                <w:rFonts w:asciiTheme="majorHAnsi" w:hAnsiTheme="majorHAnsi" w:cstheme="majorHAnsi"/>
                <w:b/>
                <w:bCs/>
                <w:color w:val="000000"/>
                <w:spacing w:val="-1"/>
                <w:szCs w:val="22"/>
                <w:lang w:val="en-GB"/>
              </w:rPr>
            </w:pPr>
          </w:p>
        </w:tc>
      </w:tr>
    </w:tbl>
    <w:p w14:paraId="5CB05390" w14:textId="4DEDFBA6" w:rsidR="002D562D" w:rsidRPr="00722F80" w:rsidRDefault="002D562D" w:rsidP="002D562D">
      <w:pPr>
        <w:shd w:val="clear" w:color="auto" w:fill="FFFFFF"/>
        <w:spacing w:before="120" w:after="120"/>
        <w:ind w:left="120"/>
        <w:rPr>
          <w:rFonts w:asciiTheme="majorHAnsi" w:hAnsiTheme="majorHAnsi" w:cstheme="majorHAnsi"/>
          <w:szCs w:val="22"/>
          <w:lang w:val="en-GB"/>
        </w:rPr>
      </w:pPr>
      <w:r w:rsidRPr="00722F80">
        <w:rPr>
          <w:rFonts w:asciiTheme="majorHAnsi" w:hAnsiTheme="majorHAnsi" w:cstheme="majorHAnsi"/>
          <w:b/>
          <w:bCs/>
          <w:color w:val="000000"/>
          <w:spacing w:val="-4"/>
          <w:szCs w:val="22"/>
          <w:lang w:val="en-GB"/>
        </w:rPr>
        <w:t>Tender price</w:t>
      </w:r>
      <w:r w:rsidR="007F45FD" w:rsidRPr="00722F80">
        <w:rPr>
          <w:rFonts w:asciiTheme="majorHAnsi" w:hAnsiTheme="majorHAnsi" w:cstheme="majorHAnsi"/>
          <w:b/>
          <w:bCs/>
          <w:color w:val="000000"/>
          <w:spacing w:val="-4"/>
          <w:szCs w:val="22"/>
          <w:lang w:val="en-GB"/>
        </w:rPr>
        <w:t> </w:t>
      </w:r>
      <w:r w:rsidRPr="00722F80">
        <w:rPr>
          <w:rFonts w:asciiTheme="majorHAnsi" w:hAnsiTheme="majorHAnsi" w:cstheme="majorHAnsi"/>
          <w:b/>
          <w:bCs/>
          <w:color w:val="000000"/>
          <w:spacing w:val="-4"/>
          <w:szCs w:val="22"/>
          <w:lang w:val="en-GB"/>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F86436" w:rsidRPr="00722F80" w14:paraId="407CA425" w14:textId="77777777" w:rsidTr="005C55C1">
        <w:trPr>
          <w:trHeight w:hRule="exact" w:val="550"/>
        </w:trPr>
        <w:tc>
          <w:tcPr>
            <w:tcW w:w="4395" w:type="dxa"/>
            <w:shd w:val="clear" w:color="auto" w:fill="FFFFFF"/>
          </w:tcPr>
          <w:p w14:paraId="33DA87FB" w14:textId="43E5E2DC" w:rsidR="00F86436" w:rsidRPr="00722F80" w:rsidRDefault="007773F0" w:rsidP="005C55C1">
            <w:pPr>
              <w:shd w:val="clear" w:color="auto" w:fill="FFFFFF"/>
              <w:autoSpaceDE w:val="0"/>
              <w:autoSpaceDN w:val="0"/>
              <w:adjustRightInd w:val="0"/>
              <w:spacing w:before="120" w:after="120"/>
              <w:ind w:left="5"/>
              <w:rPr>
                <w:rFonts w:asciiTheme="majorHAnsi" w:hAnsiTheme="majorHAnsi" w:cstheme="majorHAnsi"/>
                <w:sz w:val="22"/>
                <w:szCs w:val="22"/>
                <w:lang w:val="en-GB"/>
              </w:rPr>
            </w:pPr>
            <w:r w:rsidRPr="007773F0">
              <w:rPr>
                <w:rFonts w:asciiTheme="majorHAnsi" w:hAnsiTheme="majorHAnsi" w:cstheme="majorHAnsi"/>
                <w:b/>
                <w:bCs/>
                <w:color w:val="000000"/>
                <w:spacing w:val="-1"/>
                <w:szCs w:val="22"/>
                <w:lang w:val="en-GB"/>
              </w:rPr>
              <w:t>Total pre-VAT price in USD</w:t>
            </w:r>
          </w:p>
        </w:tc>
        <w:tc>
          <w:tcPr>
            <w:tcW w:w="5241" w:type="dxa"/>
            <w:shd w:val="clear" w:color="auto" w:fill="FFFFFF"/>
          </w:tcPr>
          <w:p w14:paraId="619F89F7" w14:textId="77777777" w:rsidR="00F86436" w:rsidRPr="00722F80" w:rsidRDefault="00F86436" w:rsidP="005C55C1">
            <w:pPr>
              <w:shd w:val="clear" w:color="auto" w:fill="FFFFFF"/>
              <w:spacing w:before="120" w:after="120"/>
              <w:rPr>
                <w:rFonts w:asciiTheme="majorHAnsi" w:hAnsiTheme="majorHAnsi" w:cstheme="majorHAnsi"/>
                <w:sz w:val="22"/>
                <w:szCs w:val="22"/>
                <w:lang w:val="en-GB"/>
              </w:rPr>
            </w:pPr>
          </w:p>
        </w:tc>
      </w:tr>
      <w:tr w:rsidR="00F86436" w:rsidRPr="00722F80" w14:paraId="13370CB6" w14:textId="77777777" w:rsidTr="005C55C1">
        <w:trPr>
          <w:trHeight w:hRule="exact" w:val="451"/>
        </w:trPr>
        <w:tc>
          <w:tcPr>
            <w:tcW w:w="4395" w:type="dxa"/>
            <w:shd w:val="clear" w:color="auto" w:fill="FFFFFF"/>
          </w:tcPr>
          <w:p w14:paraId="08B1EA00" w14:textId="78295027" w:rsidR="00F86436" w:rsidRPr="00722F80" w:rsidRDefault="007773F0" w:rsidP="005C55C1">
            <w:pPr>
              <w:shd w:val="clear" w:color="auto" w:fill="FFFFFF"/>
              <w:spacing w:before="120" w:after="120"/>
              <w:ind w:left="5"/>
              <w:rPr>
                <w:rFonts w:asciiTheme="majorHAnsi" w:hAnsiTheme="majorHAnsi" w:cstheme="majorHAnsi"/>
                <w:color w:val="000000"/>
                <w:spacing w:val="-5"/>
                <w:sz w:val="22"/>
                <w:szCs w:val="22"/>
                <w:lang w:val="en-GB"/>
              </w:rPr>
            </w:pPr>
            <w:r w:rsidRPr="007773F0">
              <w:rPr>
                <w:rFonts w:ascii="Calibri" w:eastAsia="Malgun Gothic" w:hAnsi="Calibri"/>
                <w:b/>
                <w:bCs/>
                <w:color w:val="000000"/>
                <w:spacing w:val="-2"/>
                <w:sz w:val="22"/>
                <w:szCs w:val="20"/>
                <w:lang w:val="en-GB" w:eastAsia="en-GB"/>
              </w:rPr>
              <w:t>VAT amount (25%)</w:t>
            </w:r>
            <w:r w:rsidRPr="007773F0">
              <w:rPr>
                <w:rFonts w:ascii="Calibri" w:eastAsia="Malgun Gothic" w:hAnsi="Calibri"/>
                <w:b/>
                <w:bCs/>
                <w:color w:val="000000"/>
                <w:spacing w:val="-2"/>
                <w:sz w:val="22"/>
                <w:szCs w:val="20"/>
                <w:vertAlign w:val="superscript"/>
                <w:lang w:val="en-GB" w:eastAsia="en-GB"/>
              </w:rPr>
              <w:footnoteReference w:id="2"/>
            </w:r>
          </w:p>
        </w:tc>
        <w:tc>
          <w:tcPr>
            <w:tcW w:w="5241" w:type="dxa"/>
            <w:shd w:val="clear" w:color="auto" w:fill="FFFFFF"/>
          </w:tcPr>
          <w:p w14:paraId="2C6AAB36" w14:textId="77777777" w:rsidR="00F86436" w:rsidRPr="00722F80" w:rsidRDefault="00F86436" w:rsidP="005C55C1">
            <w:pPr>
              <w:shd w:val="clear" w:color="auto" w:fill="FFFFFF"/>
              <w:spacing w:before="120" w:after="120"/>
              <w:rPr>
                <w:rFonts w:asciiTheme="majorHAnsi" w:hAnsiTheme="majorHAnsi" w:cstheme="majorHAnsi"/>
                <w:sz w:val="22"/>
                <w:szCs w:val="22"/>
                <w:lang w:val="en-GB"/>
              </w:rPr>
            </w:pPr>
          </w:p>
        </w:tc>
      </w:tr>
      <w:tr w:rsidR="00F86436" w:rsidRPr="00722F80" w14:paraId="22A34BC0" w14:textId="77777777" w:rsidTr="005C55C1">
        <w:trPr>
          <w:trHeight w:hRule="exact" w:val="442"/>
        </w:trPr>
        <w:tc>
          <w:tcPr>
            <w:tcW w:w="4395" w:type="dxa"/>
            <w:shd w:val="clear" w:color="auto" w:fill="FFFFFF"/>
          </w:tcPr>
          <w:p w14:paraId="41EF70A4" w14:textId="3408CEE3" w:rsidR="00F86436" w:rsidRPr="00722F80" w:rsidRDefault="007773F0" w:rsidP="005C55C1">
            <w:pPr>
              <w:shd w:val="clear" w:color="auto" w:fill="FFFFFF"/>
              <w:spacing w:before="120" w:after="120"/>
              <w:ind w:left="5"/>
              <w:rPr>
                <w:rFonts w:asciiTheme="majorHAnsi" w:hAnsiTheme="majorHAnsi" w:cstheme="majorHAnsi"/>
                <w:color w:val="000000"/>
                <w:spacing w:val="-5"/>
                <w:sz w:val="22"/>
                <w:szCs w:val="22"/>
                <w:lang w:val="en-GB"/>
              </w:rPr>
            </w:pPr>
            <w:r w:rsidRPr="007773F0">
              <w:rPr>
                <w:rFonts w:ascii="Calibri" w:eastAsia="Malgun Gothic" w:hAnsi="Calibri" w:cs="Calibri"/>
                <w:b/>
                <w:bCs/>
                <w:color w:val="000000"/>
                <w:spacing w:val="-5"/>
                <w:sz w:val="22"/>
                <w:szCs w:val="22"/>
                <w:lang w:val="en-GB" w:eastAsia="en-GB"/>
              </w:rPr>
              <w:t>Total price with VAT in USD</w:t>
            </w:r>
          </w:p>
        </w:tc>
        <w:tc>
          <w:tcPr>
            <w:tcW w:w="5241" w:type="dxa"/>
            <w:shd w:val="clear" w:color="auto" w:fill="FFFFFF"/>
          </w:tcPr>
          <w:p w14:paraId="19C12B35" w14:textId="77777777" w:rsidR="00F86436" w:rsidRPr="00722F80" w:rsidRDefault="00F86436" w:rsidP="005C55C1">
            <w:pPr>
              <w:shd w:val="clear" w:color="auto" w:fill="FFFFFF"/>
              <w:spacing w:before="120" w:after="120"/>
              <w:rPr>
                <w:rFonts w:asciiTheme="majorHAnsi" w:hAnsiTheme="majorHAnsi" w:cstheme="majorHAnsi"/>
                <w:sz w:val="22"/>
                <w:szCs w:val="22"/>
                <w:lang w:val="en-GB"/>
              </w:rPr>
            </w:pPr>
          </w:p>
        </w:tc>
      </w:tr>
    </w:tbl>
    <w:p w14:paraId="758AE55C" w14:textId="2D8C819A" w:rsidR="002D562D" w:rsidRPr="007773F0" w:rsidRDefault="002D562D" w:rsidP="002D562D">
      <w:pPr>
        <w:shd w:val="clear" w:color="auto" w:fill="FFFFFF"/>
        <w:spacing w:before="120" w:after="120"/>
        <w:rPr>
          <w:rFonts w:asciiTheme="majorHAnsi" w:hAnsiTheme="majorHAnsi" w:cstheme="majorHAnsi"/>
          <w:color w:val="000000"/>
          <w:spacing w:val="-2"/>
          <w:sz w:val="22"/>
          <w:szCs w:val="22"/>
          <w:lang w:val="en-GB"/>
        </w:rPr>
      </w:pPr>
      <w:r w:rsidRPr="007773F0">
        <w:rPr>
          <w:rFonts w:asciiTheme="majorHAnsi" w:hAnsiTheme="majorHAnsi" w:cstheme="majorHAnsi"/>
          <w:b/>
          <w:bCs/>
          <w:color w:val="000000"/>
          <w:spacing w:val="-3"/>
          <w:sz w:val="22"/>
          <w:szCs w:val="22"/>
          <w:lang w:val="en-GB"/>
        </w:rPr>
        <w:t xml:space="preserve">Bid validity date: </w:t>
      </w:r>
      <w:r w:rsidRPr="007773F0">
        <w:rPr>
          <w:rFonts w:asciiTheme="majorHAnsi" w:hAnsiTheme="majorHAnsi" w:cstheme="majorHAnsi"/>
          <w:color w:val="000000"/>
          <w:spacing w:val="-2"/>
          <w:sz w:val="22"/>
          <w:szCs w:val="22"/>
          <w:lang w:val="en-GB"/>
        </w:rPr>
        <w:t xml:space="preserve">(at least </w:t>
      </w:r>
      <w:r w:rsidRPr="007773F0">
        <w:rPr>
          <w:rFonts w:asciiTheme="majorHAnsi" w:hAnsiTheme="majorHAnsi" w:cstheme="majorHAnsi"/>
          <w:spacing w:val="-2"/>
          <w:sz w:val="22"/>
          <w:szCs w:val="22"/>
          <w:lang w:val="en-GB"/>
        </w:rPr>
        <w:t>15 days</w:t>
      </w:r>
      <w:r w:rsidRPr="007773F0">
        <w:rPr>
          <w:rFonts w:asciiTheme="majorHAnsi" w:hAnsiTheme="majorHAnsi" w:cstheme="majorHAnsi"/>
          <w:color w:val="000000"/>
          <w:spacing w:val="-2"/>
          <w:sz w:val="22"/>
          <w:szCs w:val="22"/>
          <w:lang w:val="en-GB"/>
        </w:rPr>
        <w:t xml:space="preserve"> after the bid submission deadline)</w:t>
      </w:r>
    </w:p>
    <w:p w14:paraId="6C8DF78D" w14:textId="77777777" w:rsidR="002D562D" w:rsidRPr="00722F80" w:rsidRDefault="002D562D" w:rsidP="002D562D">
      <w:pPr>
        <w:shd w:val="clear" w:color="auto" w:fill="FFFFFF"/>
        <w:spacing w:before="120" w:after="120"/>
        <w:ind w:left="115"/>
        <w:rPr>
          <w:rFonts w:asciiTheme="majorHAnsi" w:hAnsiTheme="majorHAnsi" w:cstheme="majorHAnsi"/>
          <w:lang w:val="en-GB"/>
        </w:rPr>
      </w:pPr>
      <w:r w:rsidRPr="00722F80">
        <w:rPr>
          <w:rFonts w:asciiTheme="majorHAnsi" w:hAnsiTheme="majorHAnsi" w:cstheme="majorHAnsi"/>
          <w:color w:val="000000"/>
          <w:spacing w:val="-2"/>
          <w:szCs w:val="22"/>
          <w:lang w:val="en-GB"/>
        </w:rPr>
        <w:tab/>
      </w:r>
      <w:r w:rsidRPr="00722F80">
        <w:rPr>
          <w:rFonts w:asciiTheme="majorHAnsi" w:hAnsiTheme="majorHAnsi" w:cstheme="majorHAnsi"/>
          <w:color w:val="000000"/>
          <w:spacing w:val="-2"/>
          <w:szCs w:val="22"/>
          <w:lang w:val="en-GB"/>
        </w:rPr>
        <w:tab/>
      </w:r>
      <w:r w:rsidRPr="00722F80">
        <w:rPr>
          <w:rFonts w:asciiTheme="majorHAnsi" w:hAnsiTheme="majorHAnsi" w:cstheme="majorHAnsi"/>
          <w:color w:val="000000"/>
          <w:spacing w:val="-2"/>
          <w:szCs w:val="22"/>
          <w:lang w:val="en-GB"/>
        </w:rPr>
        <w:tab/>
      </w:r>
      <w:r w:rsidRPr="00722F80">
        <w:rPr>
          <w:rFonts w:asciiTheme="majorHAnsi" w:hAnsiTheme="majorHAnsi" w:cstheme="majorHAnsi"/>
          <w:color w:val="000000"/>
          <w:spacing w:val="-2"/>
          <w:szCs w:val="22"/>
          <w:lang w:val="en-GB"/>
        </w:rPr>
        <w:tab/>
      </w:r>
      <w:r w:rsidRPr="00722F80">
        <w:rPr>
          <w:rFonts w:asciiTheme="majorHAnsi" w:hAnsiTheme="majorHAnsi" w:cstheme="majorHAnsi"/>
          <w:color w:val="000000"/>
          <w:spacing w:val="-2"/>
          <w:szCs w:val="22"/>
          <w:lang w:val="en-GB"/>
        </w:rPr>
        <w:tab/>
      </w:r>
      <w:r w:rsidRPr="00722F80">
        <w:rPr>
          <w:rFonts w:asciiTheme="majorHAnsi" w:hAnsiTheme="majorHAnsi" w:cstheme="majorHAnsi"/>
          <w:color w:val="000000"/>
          <w:spacing w:val="-2"/>
          <w:szCs w:val="22"/>
          <w:lang w:val="en-GB"/>
        </w:rPr>
        <w:tab/>
      </w:r>
      <w:r w:rsidRPr="00722F80">
        <w:rPr>
          <w:rFonts w:asciiTheme="majorHAnsi" w:hAnsiTheme="majorHAnsi" w:cstheme="majorHAnsi"/>
          <w:color w:val="000000"/>
          <w:spacing w:val="-2"/>
          <w:szCs w:val="22"/>
          <w:lang w:val="en-GB"/>
        </w:rPr>
        <w:tab/>
      </w:r>
      <w:r w:rsidRPr="00722F80">
        <w:rPr>
          <w:rFonts w:asciiTheme="majorHAnsi" w:hAnsiTheme="majorHAnsi" w:cstheme="majorHAnsi"/>
          <w:color w:val="000000"/>
          <w:spacing w:val="-2"/>
          <w:szCs w:val="22"/>
          <w:lang w:val="en-GB"/>
        </w:rPr>
        <w:tab/>
      </w:r>
      <w:r w:rsidRPr="00722F80">
        <w:rPr>
          <w:rFonts w:asciiTheme="majorHAnsi" w:hAnsiTheme="majorHAnsi" w:cstheme="majorHAnsi"/>
          <w:b/>
          <w:bCs/>
          <w:color w:val="000000"/>
          <w:spacing w:val="-4"/>
          <w:lang w:val="en-GB"/>
        </w:rPr>
        <w:t>For Tenderer:</w:t>
      </w:r>
    </w:p>
    <w:p w14:paraId="1D5EC340" w14:textId="77777777" w:rsidR="002D562D" w:rsidRPr="00722F80"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57753ECC" w14:textId="0E32E77F" w:rsidR="002D562D" w:rsidRPr="00722F80" w:rsidRDefault="002D562D" w:rsidP="002D562D">
      <w:pPr>
        <w:shd w:val="clear" w:color="auto" w:fill="FFFFFF"/>
        <w:spacing w:before="120" w:after="120"/>
        <w:ind w:left="4253"/>
        <w:rPr>
          <w:rFonts w:asciiTheme="majorHAnsi" w:hAnsiTheme="majorHAnsi" w:cstheme="majorHAnsi"/>
          <w:lang w:val="en-GB"/>
        </w:rPr>
      </w:pPr>
      <w:r w:rsidRPr="00722F80">
        <w:rPr>
          <w:rFonts w:asciiTheme="majorHAnsi" w:hAnsiTheme="majorHAnsi" w:cstheme="majorHAnsi"/>
          <w:noProof/>
          <w:lang w:val="en-GB" w:eastAsia="en-GB"/>
        </w:rPr>
        <mc:AlternateContent>
          <mc:Choice Requires="wps">
            <w:drawing>
              <wp:anchor distT="4294967294" distB="4294967294" distL="114300" distR="114300" simplePos="0" relativeHeight="251661312" behindDoc="0" locked="0" layoutInCell="0" allowOverlap="1" wp14:anchorId="51DCE04C" wp14:editId="04F6E16E">
                <wp:simplePos x="0" y="0"/>
                <wp:positionH relativeFrom="column">
                  <wp:posOffset>2656840</wp:posOffset>
                </wp:positionH>
                <wp:positionV relativeFrom="paragraph">
                  <wp:posOffset>234949</wp:posOffset>
                </wp:positionV>
                <wp:extent cx="3171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3827B"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" o:allowincell="f" strokeweight="1.2pt"/>
            </w:pict>
          </mc:Fallback>
        </mc:AlternateContent>
      </w:r>
    </w:p>
    <w:p w14:paraId="6930D77D" w14:textId="77777777" w:rsidR="002D562D" w:rsidRPr="00722F80" w:rsidRDefault="002D562D" w:rsidP="002D562D">
      <w:pPr>
        <w:shd w:val="clear" w:color="auto" w:fill="FFFFFF"/>
        <w:spacing w:before="120" w:after="120"/>
        <w:ind w:left="8971"/>
        <w:rPr>
          <w:rFonts w:asciiTheme="majorHAnsi" w:hAnsiTheme="majorHAnsi" w:cstheme="majorHAnsi"/>
          <w:lang w:val="en-GB"/>
        </w:rPr>
        <w:sectPr w:rsidR="002D562D" w:rsidRPr="00722F80" w:rsidSect="00903418">
          <w:footerReference w:type="default" r:id="rId12"/>
          <w:headerReference w:type="first" r:id="rId13"/>
          <w:pgSz w:w="11909" w:h="16834"/>
          <w:pgMar w:top="993" w:right="974" w:bottom="360" w:left="1306" w:header="720" w:footer="720" w:gutter="0"/>
          <w:pgNumType w:start="1"/>
          <w:cols w:space="60"/>
          <w:noEndnote/>
          <w:titlePg/>
          <w:docGrid w:linePitch="326"/>
        </w:sectPr>
      </w:pPr>
    </w:p>
    <w:p w14:paraId="11C7C2E9" w14:textId="77777777" w:rsidR="002D562D" w:rsidRPr="00722F80" w:rsidRDefault="002D562D" w:rsidP="002D562D">
      <w:pPr>
        <w:pStyle w:val="Heading1"/>
        <w:rPr>
          <w:rFonts w:asciiTheme="majorHAnsi" w:hAnsiTheme="majorHAnsi" w:cstheme="majorHAnsi"/>
          <w:lang w:val="en-GB"/>
        </w:rPr>
      </w:pPr>
      <w:bookmarkStart w:id="11" w:name="_Hlk28470189"/>
      <w:bookmarkEnd w:id="10"/>
      <w:r w:rsidRPr="00722F80">
        <w:rPr>
          <w:rFonts w:asciiTheme="majorHAnsi" w:hAnsiTheme="majorHAnsi" w:cstheme="majorHAnsi"/>
          <w:lang w:val="en-GB"/>
        </w:rPr>
        <w:lastRenderedPageBreak/>
        <w:t>Annex 2</w:t>
      </w:r>
    </w:p>
    <w:p w14:paraId="378D18B8" w14:textId="77777777" w:rsidR="002D562D" w:rsidRPr="00722F80" w:rsidRDefault="002D562D" w:rsidP="002D562D">
      <w:pPr>
        <w:pStyle w:val="Heading1"/>
        <w:rPr>
          <w:rFonts w:asciiTheme="majorHAnsi" w:hAnsiTheme="majorHAnsi" w:cstheme="majorHAnsi"/>
          <w:lang w:val="en-GB"/>
        </w:rPr>
      </w:pPr>
      <w:r w:rsidRPr="00722F80">
        <w:rPr>
          <w:rFonts w:asciiTheme="majorHAnsi" w:hAnsiTheme="majorHAnsi" w:cstheme="majorHAnsi"/>
          <w:lang w:val="en-GB"/>
        </w:rPr>
        <w:t>Practical experience verifying expertise of the Tenderer</w:t>
      </w:r>
    </w:p>
    <w:p w14:paraId="3AFA2DE6" w14:textId="77777777" w:rsidR="002D562D" w:rsidRPr="00722F80" w:rsidRDefault="002D562D" w:rsidP="002D562D">
      <w:pPr>
        <w:shd w:val="clear" w:color="auto" w:fill="FFFFFF"/>
        <w:spacing w:before="120" w:after="120"/>
        <w:ind w:right="5"/>
        <w:jc w:val="right"/>
        <w:rPr>
          <w:rFonts w:asciiTheme="majorHAnsi" w:hAnsiTheme="majorHAnsi" w:cstheme="majorHAnsi"/>
          <w:szCs w:val="22"/>
          <w:lang w:val="en-GB"/>
        </w:rPr>
      </w:pPr>
    </w:p>
    <w:p w14:paraId="2ABFAF57" w14:textId="2882D852" w:rsidR="002D562D" w:rsidRPr="00722F80" w:rsidRDefault="002D562D" w:rsidP="002D562D">
      <w:pPr>
        <w:rPr>
          <w:rFonts w:asciiTheme="majorHAnsi" w:hAnsiTheme="majorHAnsi" w:cstheme="majorHAnsi"/>
          <w:szCs w:val="22"/>
          <w:lang w:val="en-GB"/>
        </w:rPr>
      </w:pPr>
      <w:r w:rsidRPr="00722F80">
        <w:rPr>
          <w:rFonts w:asciiTheme="majorHAnsi" w:hAnsiTheme="majorHAnsi" w:cstheme="majorHAnsi"/>
          <w:szCs w:val="22"/>
          <w:lang w:val="en-GB"/>
        </w:rPr>
        <w:t xml:space="preserve">Relevant </w:t>
      </w:r>
      <w:r w:rsidRPr="00722F80">
        <w:rPr>
          <w:rFonts w:asciiTheme="majorHAnsi" w:hAnsiTheme="majorHAnsi" w:cstheme="majorHAnsi"/>
          <w:spacing w:val="1"/>
          <w:szCs w:val="22"/>
          <w:lang w:val="en-GB"/>
        </w:rPr>
        <w:t xml:space="preserve">experience </w:t>
      </w:r>
      <w:r w:rsidRPr="00722F80">
        <w:rPr>
          <w:rFonts w:asciiTheme="majorHAnsi" w:hAnsiTheme="majorHAnsi" w:cstheme="majorHAnsi"/>
          <w:szCs w:val="22"/>
          <w:lang w:val="en-GB"/>
        </w:rPr>
        <w:t>of the tenderer- expert (</w:t>
      </w:r>
      <w:r w:rsidRPr="00722F80">
        <w:rPr>
          <w:rFonts w:asciiTheme="majorHAnsi" w:hAnsiTheme="majorHAnsi" w:cstheme="majorHAnsi"/>
          <w:i/>
          <w:iCs/>
          <w:szCs w:val="22"/>
          <w:lang w:val="en-GB"/>
        </w:rPr>
        <w:t>Name and Surname</w:t>
      </w:r>
      <w:r w:rsidRPr="00722F80">
        <w:rPr>
          <w:rFonts w:asciiTheme="majorHAnsi" w:hAnsiTheme="majorHAnsi" w:cstheme="majorHAnsi"/>
          <w:szCs w:val="22"/>
          <w:lang w:val="en-GB"/>
        </w:rPr>
        <w:t>) ________________________, related to the</w:t>
      </w:r>
      <w:r w:rsidR="009572C7" w:rsidRPr="00722F80">
        <w:rPr>
          <w:rFonts w:asciiTheme="majorHAnsi" w:hAnsiTheme="majorHAnsi" w:cstheme="majorHAnsi"/>
          <w:szCs w:val="22"/>
          <w:lang w:val="en-GB"/>
        </w:rPr>
        <w:t xml:space="preserve"> </w:t>
      </w:r>
      <w:r w:rsidR="008318D0">
        <w:rPr>
          <w:rFonts w:asciiTheme="majorHAnsi" w:hAnsiTheme="majorHAnsi" w:cstheme="majorHAnsi"/>
          <w:color w:val="000000"/>
          <w:szCs w:val="22"/>
          <w:lang w:val="en-GB"/>
        </w:rPr>
        <w:t xml:space="preserve">economic aspects of the ICZM </w:t>
      </w:r>
      <w:r w:rsidRPr="00722F80">
        <w:rPr>
          <w:rFonts w:asciiTheme="majorHAnsi" w:hAnsiTheme="majorHAnsi" w:cstheme="majorHAnsi"/>
          <w:color w:val="000000"/>
          <w:szCs w:val="22"/>
          <w:lang w:val="en-GB"/>
        </w:rPr>
        <w:t>in which the Tender was involved as a key expert/coordinator</w:t>
      </w:r>
      <w:r w:rsidRPr="00722F80">
        <w:rPr>
          <w:rFonts w:asciiTheme="majorHAnsi" w:hAnsiTheme="majorHAnsi" w:cstheme="majorHAnsi"/>
          <w:szCs w:val="22"/>
          <w:lang w:val="en-GB"/>
        </w:rPr>
        <w:t xml:space="preserve">: </w:t>
      </w:r>
    </w:p>
    <w:p w14:paraId="16B66DD5" w14:textId="77777777" w:rsidR="002D562D" w:rsidRPr="00722F80" w:rsidRDefault="002D562D" w:rsidP="002D562D">
      <w:pPr>
        <w:rPr>
          <w:rFonts w:asciiTheme="majorHAnsi" w:hAnsiTheme="majorHAnsi" w:cstheme="majorHAnsi"/>
          <w:szCs w:val="22"/>
          <w:lang w:val="en-GB"/>
        </w:rPr>
      </w:pPr>
    </w:p>
    <w:p w14:paraId="6FA033F5" w14:textId="77777777" w:rsidR="002D562D" w:rsidRPr="00722F80" w:rsidRDefault="002D562D" w:rsidP="002D562D">
      <w:pPr>
        <w:rPr>
          <w:rFonts w:asciiTheme="majorHAnsi" w:hAnsiTheme="majorHAnsi" w:cstheme="majorHAnsi"/>
          <w:szCs w:val="22"/>
          <w:lang w:val="en-GB"/>
        </w:rPr>
      </w:pPr>
    </w:p>
    <w:p w14:paraId="6FF624F4" w14:textId="77777777" w:rsidR="002D562D" w:rsidRPr="00722F80" w:rsidRDefault="002D562D" w:rsidP="002D562D">
      <w:pPr>
        <w:rPr>
          <w:rFonts w:asciiTheme="majorHAnsi" w:hAnsiTheme="majorHAnsi" w:cstheme="majorHAnsi"/>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2D562D" w:rsidRPr="00722F80" w14:paraId="58F8638A" w14:textId="77777777" w:rsidTr="00445AAA">
        <w:tc>
          <w:tcPr>
            <w:tcW w:w="738" w:type="dxa"/>
            <w:shd w:val="clear" w:color="auto" w:fill="auto"/>
          </w:tcPr>
          <w:p w14:paraId="50F494A8"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No</w:t>
            </w:r>
            <w:r w:rsidRPr="00722F80">
              <w:rPr>
                <w:rStyle w:val="FootnoteReference"/>
                <w:rFonts w:asciiTheme="majorHAnsi" w:hAnsiTheme="majorHAnsi" w:cstheme="majorHAnsi"/>
                <w:szCs w:val="22"/>
                <w:lang w:val="en-GB"/>
              </w:rPr>
              <w:footnoteReference w:id="3"/>
            </w:r>
            <w:r w:rsidRPr="00722F80">
              <w:rPr>
                <w:rFonts w:asciiTheme="majorHAnsi" w:hAnsiTheme="majorHAnsi" w:cstheme="majorHAnsi"/>
                <w:szCs w:val="22"/>
                <w:lang w:val="en-GB"/>
              </w:rPr>
              <w:t>.</w:t>
            </w:r>
          </w:p>
        </w:tc>
        <w:tc>
          <w:tcPr>
            <w:tcW w:w="5891" w:type="dxa"/>
            <w:shd w:val="clear" w:color="auto" w:fill="auto"/>
          </w:tcPr>
          <w:p w14:paraId="51F7E026"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Experience (name of the project or other type of engagement)</w:t>
            </w:r>
          </w:p>
        </w:tc>
        <w:tc>
          <w:tcPr>
            <w:tcW w:w="1559" w:type="dxa"/>
          </w:tcPr>
          <w:p w14:paraId="2D5EF9F5"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Role of the expert</w:t>
            </w:r>
          </w:p>
        </w:tc>
        <w:tc>
          <w:tcPr>
            <w:tcW w:w="992" w:type="dxa"/>
            <w:shd w:val="clear" w:color="auto" w:fill="auto"/>
          </w:tcPr>
          <w:p w14:paraId="2FA7F1EA"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Year</w:t>
            </w:r>
          </w:p>
        </w:tc>
      </w:tr>
      <w:tr w:rsidR="002D562D" w:rsidRPr="00722F80" w14:paraId="223CA2A8" w14:textId="77777777" w:rsidTr="00445AAA">
        <w:tc>
          <w:tcPr>
            <w:tcW w:w="738" w:type="dxa"/>
            <w:shd w:val="clear" w:color="auto" w:fill="auto"/>
          </w:tcPr>
          <w:p w14:paraId="4C0F948D"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1.</w:t>
            </w:r>
          </w:p>
        </w:tc>
        <w:tc>
          <w:tcPr>
            <w:tcW w:w="5891" w:type="dxa"/>
            <w:shd w:val="clear" w:color="auto" w:fill="auto"/>
          </w:tcPr>
          <w:p w14:paraId="0CC2C2E3" w14:textId="77777777" w:rsidR="002D562D" w:rsidRPr="00722F80" w:rsidRDefault="002D562D" w:rsidP="00445AAA">
            <w:pPr>
              <w:rPr>
                <w:rFonts w:asciiTheme="majorHAnsi" w:hAnsiTheme="majorHAnsi" w:cstheme="majorHAnsi"/>
                <w:szCs w:val="22"/>
                <w:lang w:val="en-GB"/>
              </w:rPr>
            </w:pPr>
          </w:p>
        </w:tc>
        <w:tc>
          <w:tcPr>
            <w:tcW w:w="1559" w:type="dxa"/>
          </w:tcPr>
          <w:p w14:paraId="26BB33E4" w14:textId="77777777" w:rsidR="002D562D" w:rsidRPr="00722F80" w:rsidRDefault="002D562D" w:rsidP="00445AAA">
            <w:pPr>
              <w:rPr>
                <w:rFonts w:asciiTheme="majorHAnsi" w:hAnsiTheme="majorHAnsi" w:cstheme="majorHAnsi"/>
                <w:szCs w:val="22"/>
                <w:lang w:val="en-GB"/>
              </w:rPr>
            </w:pPr>
          </w:p>
        </w:tc>
        <w:tc>
          <w:tcPr>
            <w:tcW w:w="992" w:type="dxa"/>
            <w:shd w:val="clear" w:color="auto" w:fill="auto"/>
          </w:tcPr>
          <w:p w14:paraId="76C278DB" w14:textId="77777777" w:rsidR="002D562D" w:rsidRPr="00722F80" w:rsidRDefault="002D562D" w:rsidP="00445AAA">
            <w:pPr>
              <w:rPr>
                <w:rFonts w:asciiTheme="majorHAnsi" w:hAnsiTheme="majorHAnsi" w:cstheme="majorHAnsi"/>
                <w:szCs w:val="22"/>
                <w:lang w:val="en-GB"/>
              </w:rPr>
            </w:pPr>
          </w:p>
          <w:p w14:paraId="1DA37142" w14:textId="77777777" w:rsidR="002D562D" w:rsidRPr="00722F80" w:rsidRDefault="002D562D" w:rsidP="00445AAA">
            <w:pPr>
              <w:rPr>
                <w:rFonts w:asciiTheme="majorHAnsi" w:hAnsiTheme="majorHAnsi" w:cstheme="majorHAnsi"/>
                <w:szCs w:val="22"/>
                <w:lang w:val="en-GB"/>
              </w:rPr>
            </w:pPr>
          </w:p>
        </w:tc>
      </w:tr>
      <w:tr w:rsidR="002D562D" w:rsidRPr="00722F80" w14:paraId="1FAF53DE" w14:textId="77777777" w:rsidTr="00445AAA">
        <w:tc>
          <w:tcPr>
            <w:tcW w:w="738" w:type="dxa"/>
            <w:shd w:val="clear" w:color="auto" w:fill="auto"/>
          </w:tcPr>
          <w:p w14:paraId="0B38CAEB"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2.</w:t>
            </w:r>
          </w:p>
        </w:tc>
        <w:tc>
          <w:tcPr>
            <w:tcW w:w="5891" w:type="dxa"/>
            <w:shd w:val="clear" w:color="auto" w:fill="auto"/>
          </w:tcPr>
          <w:p w14:paraId="1CCD6294" w14:textId="77777777" w:rsidR="002D562D" w:rsidRPr="00722F80" w:rsidRDefault="002D562D" w:rsidP="00445AAA">
            <w:pPr>
              <w:rPr>
                <w:rFonts w:asciiTheme="majorHAnsi" w:hAnsiTheme="majorHAnsi" w:cstheme="majorHAnsi"/>
                <w:szCs w:val="22"/>
                <w:lang w:val="en-GB"/>
              </w:rPr>
            </w:pPr>
          </w:p>
        </w:tc>
        <w:tc>
          <w:tcPr>
            <w:tcW w:w="1559" w:type="dxa"/>
          </w:tcPr>
          <w:p w14:paraId="0E4B8D01" w14:textId="77777777" w:rsidR="002D562D" w:rsidRPr="00722F80" w:rsidRDefault="002D562D" w:rsidP="00445AAA">
            <w:pPr>
              <w:rPr>
                <w:rFonts w:asciiTheme="majorHAnsi" w:hAnsiTheme="majorHAnsi" w:cstheme="majorHAnsi"/>
                <w:szCs w:val="22"/>
                <w:lang w:val="en-GB"/>
              </w:rPr>
            </w:pPr>
          </w:p>
        </w:tc>
        <w:tc>
          <w:tcPr>
            <w:tcW w:w="992" w:type="dxa"/>
            <w:shd w:val="clear" w:color="auto" w:fill="auto"/>
          </w:tcPr>
          <w:p w14:paraId="036D0C8D" w14:textId="77777777" w:rsidR="002D562D" w:rsidRPr="00722F80" w:rsidRDefault="002D562D" w:rsidP="00445AAA">
            <w:pPr>
              <w:rPr>
                <w:rFonts w:asciiTheme="majorHAnsi" w:hAnsiTheme="majorHAnsi" w:cstheme="majorHAnsi"/>
                <w:szCs w:val="22"/>
                <w:lang w:val="en-GB"/>
              </w:rPr>
            </w:pPr>
          </w:p>
          <w:p w14:paraId="09871EA5" w14:textId="77777777" w:rsidR="002D562D" w:rsidRPr="00722F80" w:rsidRDefault="002D562D" w:rsidP="00445AAA">
            <w:pPr>
              <w:rPr>
                <w:rFonts w:asciiTheme="majorHAnsi" w:hAnsiTheme="majorHAnsi" w:cstheme="majorHAnsi"/>
                <w:szCs w:val="22"/>
                <w:lang w:val="en-GB"/>
              </w:rPr>
            </w:pPr>
          </w:p>
        </w:tc>
      </w:tr>
      <w:tr w:rsidR="002D562D" w:rsidRPr="00722F80" w14:paraId="040E5481" w14:textId="77777777" w:rsidTr="00445AAA">
        <w:tc>
          <w:tcPr>
            <w:tcW w:w="738" w:type="dxa"/>
            <w:shd w:val="clear" w:color="auto" w:fill="auto"/>
          </w:tcPr>
          <w:p w14:paraId="243140C5"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3.</w:t>
            </w:r>
          </w:p>
        </w:tc>
        <w:tc>
          <w:tcPr>
            <w:tcW w:w="5891" w:type="dxa"/>
            <w:shd w:val="clear" w:color="auto" w:fill="auto"/>
          </w:tcPr>
          <w:p w14:paraId="108E863C" w14:textId="77777777" w:rsidR="002D562D" w:rsidRPr="00722F80" w:rsidRDefault="002D562D" w:rsidP="00445AAA">
            <w:pPr>
              <w:rPr>
                <w:rFonts w:asciiTheme="majorHAnsi" w:hAnsiTheme="majorHAnsi" w:cstheme="majorHAnsi"/>
                <w:szCs w:val="22"/>
                <w:lang w:val="en-GB"/>
              </w:rPr>
            </w:pPr>
          </w:p>
        </w:tc>
        <w:tc>
          <w:tcPr>
            <w:tcW w:w="1559" w:type="dxa"/>
          </w:tcPr>
          <w:p w14:paraId="46C055E8" w14:textId="77777777" w:rsidR="002D562D" w:rsidRPr="00722F80" w:rsidRDefault="002D562D" w:rsidP="00445AAA">
            <w:pPr>
              <w:rPr>
                <w:rFonts w:asciiTheme="majorHAnsi" w:hAnsiTheme="majorHAnsi" w:cstheme="majorHAnsi"/>
                <w:szCs w:val="22"/>
                <w:lang w:val="en-GB"/>
              </w:rPr>
            </w:pPr>
          </w:p>
        </w:tc>
        <w:tc>
          <w:tcPr>
            <w:tcW w:w="992" w:type="dxa"/>
            <w:shd w:val="clear" w:color="auto" w:fill="auto"/>
          </w:tcPr>
          <w:p w14:paraId="5BAC8244" w14:textId="77777777" w:rsidR="002D562D" w:rsidRPr="00722F80" w:rsidRDefault="002D562D" w:rsidP="00445AAA">
            <w:pPr>
              <w:rPr>
                <w:rFonts w:asciiTheme="majorHAnsi" w:hAnsiTheme="majorHAnsi" w:cstheme="majorHAnsi"/>
                <w:szCs w:val="22"/>
                <w:lang w:val="en-GB"/>
              </w:rPr>
            </w:pPr>
          </w:p>
        </w:tc>
      </w:tr>
      <w:tr w:rsidR="002D562D" w:rsidRPr="00722F80" w14:paraId="377728C3" w14:textId="77777777" w:rsidTr="00445AAA">
        <w:tc>
          <w:tcPr>
            <w:tcW w:w="738" w:type="dxa"/>
            <w:shd w:val="clear" w:color="auto" w:fill="auto"/>
          </w:tcPr>
          <w:p w14:paraId="34CC9E9F"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4.</w:t>
            </w:r>
          </w:p>
        </w:tc>
        <w:tc>
          <w:tcPr>
            <w:tcW w:w="5891" w:type="dxa"/>
            <w:shd w:val="clear" w:color="auto" w:fill="auto"/>
          </w:tcPr>
          <w:p w14:paraId="28EE17B9" w14:textId="77777777" w:rsidR="002D562D" w:rsidRPr="00722F80" w:rsidRDefault="002D562D" w:rsidP="00445AAA">
            <w:pPr>
              <w:rPr>
                <w:rFonts w:asciiTheme="majorHAnsi" w:hAnsiTheme="majorHAnsi" w:cstheme="majorHAnsi"/>
                <w:szCs w:val="22"/>
                <w:lang w:val="en-GB"/>
              </w:rPr>
            </w:pPr>
          </w:p>
        </w:tc>
        <w:tc>
          <w:tcPr>
            <w:tcW w:w="1559" w:type="dxa"/>
          </w:tcPr>
          <w:p w14:paraId="5110E581" w14:textId="77777777" w:rsidR="002D562D" w:rsidRPr="00722F80" w:rsidRDefault="002D562D" w:rsidP="00445AAA">
            <w:pPr>
              <w:rPr>
                <w:rFonts w:asciiTheme="majorHAnsi" w:hAnsiTheme="majorHAnsi" w:cstheme="majorHAnsi"/>
                <w:szCs w:val="22"/>
                <w:lang w:val="en-GB"/>
              </w:rPr>
            </w:pPr>
          </w:p>
        </w:tc>
        <w:tc>
          <w:tcPr>
            <w:tcW w:w="992" w:type="dxa"/>
            <w:shd w:val="clear" w:color="auto" w:fill="auto"/>
          </w:tcPr>
          <w:p w14:paraId="104162C7" w14:textId="77777777" w:rsidR="002D562D" w:rsidRPr="00722F80" w:rsidRDefault="002D562D" w:rsidP="00445AAA">
            <w:pPr>
              <w:rPr>
                <w:rFonts w:asciiTheme="majorHAnsi" w:hAnsiTheme="majorHAnsi" w:cstheme="majorHAnsi"/>
                <w:szCs w:val="22"/>
                <w:lang w:val="en-GB"/>
              </w:rPr>
            </w:pPr>
          </w:p>
        </w:tc>
      </w:tr>
      <w:tr w:rsidR="002D562D" w:rsidRPr="00722F80" w14:paraId="2D14D10C" w14:textId="77777777" w:rsidTr="00445AAA">
        <w:tc>
          <w:tcPr>
            <w:tcW w:w="738" w:type="dxa"/>
            <w:shd w:val="clear" w:color="auto" w:fill="auto"/>
          </w:tcPr>
          <w:p w14:paraId="71638AB7"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5.</w:t>
            </w:r>
          </w:p>
        </w:tc>
        <w:tc>
          <w:tcPr>
            <w:tcW w:w="5891" w:type="dxa"/>
            <w:shd w:val="clear" w:color="auto" w:fill="auto"/>
          </w:tcPr>
          <w:p w14:paraId="12CD926F" w14:textId="77777777" w:rsidR="002D562D" w:rsidRPr="00722F80" w:rsidRDefault="002D562D" w:rsidP="00445AAA">
            <w:pPr>
              <w:rPr>
                <w:rFonts w:asciiTheme="majorHAnsi" w:hAnsiTheme="majorHAnsi" w:cstheme="majorHAnsi"/>
                <w:szCs w:val="22"/>
                <w:lang w:val="en-GB"/>
              </w:rPr>
            </w:pPr>
          </w:p>
        </w:tc>
        <w:tc>
          <w:tcPr>
            <w:tcW w:w="1559" w:type="dxa"/>
          </w:tcPr>
          <w:p w14:paraId="73775ADA" w14:textId="77777777" w:rsidR="002D562D" w:rsidRPr="00722F80" w:rsidRDefault="002D562D" w:rsidP="00445AAA">
            <w:pPr>
              <w:rPr>
                <w:rFonts w:asciiTheme="majorHAnsi" w:hAnsiTheme="majorHAnsi" w:cstheme="majorHAnsi"/>
                <w:szCs w:val="22"/>
                <w:lang w:val="en-GB"/>
              </w:rPr>
            </w:pPr>
          </w:p>
        </w:tc>
        <w:tc>
          <w:tcPr>
            <w:tcW w:w="992" w:type="dxa"/>
            <w:shd w:val="clear" w:color="auto" w:fill="auto"/>
          </w:tcPr>
          <w:p w14:paraId="44E555AE" w14:textId="77777777" w:rsidR="002D562D" w:rsidRPr="00722F80" w:rsidRDefault="002D562D" w:rsidP="00445AAA">
            <w:pPr>
              <w:rPr>
                <w:rFonts w:asciiTheme="majorHAnsi" w:hAnsiTheme="majorHAnsi" w:cstheme="majorHAnsi"/>
                <w:szCs w:val="22"/>
                <w:lang w:val="en-GB"/>
              </w:rPr>
            </w:pPr>
          </w:p>
        </w:tc>
      </w:tr>
      <w:tr w:rsidR="002D562D" w:rsidRPr="00722F80" w14:paraId="0AC0B760" w14:textId="77777777" w:rsidTr="00445AAA">
        <w:tc>
          <w:tcPr>
            <w:tcW w:w="738" w:type="dxa"/>
            <w:shd w:val="clear" w:color="auto" w:fill="auto"/>
          </w:tcPr>
          <w:p w14:paraId="12A49539" w14:textId="77777777" w:rsidR="002D562D" w:rsidRPr="00722F80" w:rsidRDefault="002D562D" w:rsidP="00445AAA">
            <w:pPr>
              <w:rPr>
                <w:rFonts w:asciiTheme="majorHAnsi" w:hAnsiTheme="majorHAnsi" w:cstheme="majorHAnsi"/>
                <w:szCs w:val="22"/>
                <w:lang w:val="en-GB"/>
              </w:rPr>
            </w:pPr>
            <w:r w:rsidRPr="00722F80">
              <w:rPr>
                <w:rFonts w:asciiTheme="majorHAnsi" w:hAnsiTheme="majorHAnsi" w:cstheme="majorHAnsi"/>
                <w:szCs w:val="22"/>
                <w:lang w:val="en-GB"/>
              </w:rPr>
              <w:t>6.</w:t>
            </w:r>
          </w:p>
        </w:tc>
        <w:tc>
          <w:tcPr>
            <w:tcW w:w="5891" w:type="dxa"/>
            <w:shd w:val="clear" w:color="auto" w:fill="auto"/>
          </w:tcPr>
          <w:p w14:paraId="4EFD79B5" w14:textId="77777777" w:rsidR="002D562D" w:rsidRPr="00722F80" w:rsidRDefault="002D562D" w:rsidP="00445AAA">
            <w:pPr>
              <w:rPr>
                <w:rFonts w:asciiTheme="majorHAnsi" w:hAnsiTheme="majorHAnsi" w:cstheme="majorHAnsi"/>
                <w:szCs w:val="22"/>
                <w:lang w:val="en-GB"/>
              </w:rPr>
            </w:pPr>
          </w:p>
        </w:tc>
        <w:tc>
          <w:tcPr>
            <w:tcW w:w="1559" w:type="dxa"/>
          </w:tcPr>
          <w:p w14:paraId="6D32F1F6" w14:textId="77777777" w:rsidR="002D562D" w:rsidRPr="00722F80" w:rsidRDefault="002D562D" w:rsidP="00445AAA">
            <w:pPr>
              <w:rPr>
                <w:rFonts w:asciiTheme="majorHAnsi" w:hAnsiTheme="majorHAnsi" w:cstheme="majorHAnsi"/>
                <w:szCs w:val="22"/>
                <w:lang w:val="en-GB"/>
              </w:rPr>
            </w:pPr>
          </w:p>
        </w:tc>
        <w:tc>
          <w:tcPr>
            <w:tcW w:w="992" w:type="dxa"/>
            <w:shd w:val="clear" w:color="auto" w:fill="auto"/>
          </w:tcPr>
          <w:p w14:paraId="56796912" w14:textId="77777777" w:rsidR="002D562D" w:rsidRPr="00722F80" w:rsidRDefault="002D562D" w:rsidP="00445AAA">
            <w:pPr>
              <w:rPr>
                <w:rFonts w:asciiTheme="majorHAnsi" w:hAnsiTheme="majorHAnsi" w:cstheme="majorHAnsi"/>
                <w:szCs w:val="22"/>
                <w:lang w:val="en-GB"/>
              </w:rPr>
            </w:pPr>
          </w:p>
        </w:tc>
      </w:tr>
      <w:tr w:rsidR="00AC2DD5" w:rsidRPr="00722F80" w14:paraId="127C61DC" w14:textId="77777777" w:rsidTr="00445AAA">
        <w:tc>
          <w:tcPr>
            <w:tcW w:w="738" w:type="dxa"/>
            <w:shd w:val="clear" w:color="auto" w:fill="auto"/>
          </w:tcPr>
          <w:p w14:paraId="03DF8693" w14:textId="7A17EEAE" w:rsidR="00AC2DD5" w:rsidRPr="00722F80" w:rsidRDefault="00AC2DD5" w:rsidP="00445AAA">
            <w:pPr>
              <w:rPr>
                <w:rFonts w:asciiTheme="majorHAnsi" w:hAnsiTheme="majorHAnsi" w:cstheme="majorHAnsi"/>
                <w:szCs w:val="22"/>
                <w:lang w:val="en-GB"/>
              </w:rPr>
            </w:pPr>
            <w:r>
              <w:rPr>
                <w:rFonts w:asciiTheme="majorHAnsi" w:hAnsiTheme="majorHAnsi" w:cstheme="majorHAnsi"/>
                <w:szCs w:val="22"/>
                <w:lang w:val="en-GB"/>
              </w:rPr>
              <w:t>7.</w:t>
            </w:r>
          </w:p>
        </w:tc>
        <w:tc>
          <w:tcPr>
            <w:tcW w:w="5891" w:type="dxa"/>
            <w:shd w:val="clear" w:color="auto" w:fill="auto"/>
          </w:tcPr>
          <w:p w14:paraId="313A7564" w14:textId="77777777" w:rsidR="00AC2DD5" w:rsidRPr="00722F80" w:rsidRDefault="00AC2DD5" w:rsidP="00445AAA">
            <w:pPr>
              <w:rPr>
                <w:rFonts w:asciiTheme="majorHAnsi" w:hAnsiTheme="majorHAnsi" w:cstheme="majorHAnsi"/>
                <w:szCs w:val="22"/>
                <w:lang w:val="en-GB"/>
              </w:rPr>
            </w:pPr>
          </w:p>
        </w:tc>
        <w:tc>
          <w:tcPr>
            <w:tcW w:w="1559" w:type="dxa"/>
          </w:tcPr>
          <w:p w14:paraId="2AB65BD0" w14:textId="77777777" w:rsidR="00AC2DD5" w:rsidRPr="00722F80" w:rsidRDefault="00AC2DD5" w:rsidP="00445AAA">
            <w:pPr>
              <w:rPr>
                <w:rFonts w:asciiTheme="majorHAnsi" w:hAnsiTheme="majorHAnsi" w:cstheme="majorHAnsi"/>
                <w:szCs w:val="22"/>
                <w:lang w:val="en-GB"/>
              </w:rPr>
            </w:pPr>
          </w:p>
        </w:tc>
        <w:tc>
          <w:tcPr>
            <w:tcW w:w="992" w:type="dxa"/>
            <w:shd w:val="clear" w:color="auto" w:fill="auto"/>
          </w:tcPr>
          <w:p w14:paraId="30ED1647" w14:textId="77777777" w:rsidR="00AC2DD5" w:rsidRPr="00722F80" w:rsidRDefault="00AC2DD5" w:rsidP="00445AAA">
            <w:pPr>
              <w:rPr>
                <w:rFonts w:asciiTheme="majorHAnsi" w:hAnsiTheme="majorHAnsi" w:cstheme="majorHAnsi"/>
                <w:szCs w:val="22"/>
                <w:lang w:val="en-GB"/>
              </w:rPr>
            </w:pPr>
          </w:p>
        </w:tc>
      </w:tr>
    </w:tbl>
    <w:p w14:paraId="1E479D91" w14:textId="77777777" w:rsidR="002D562D" w:rsidRPr="00722F80" w:rsidRDefault="002D562D" w:rsidP="002D562D">
      <w:pPr>
        <w:ind w:right="-180"/>
        <w:jc w:val="both"/>
        <w:rPr>
          <w:rFonts w:asciiTheme="majorHAnsi" w:hAnsiTheme="majorHAnsi" w:cstheme="majorHAnsi"/>
          <w:szCs w:val="22"/>
          <w:lang w:val="en-GB"/>
        </w:rPr>
      </w:pPr>
    </w:p>
    <w:p w14:paraId="3C74864A" w14:textId="46177A2B" w:rsidR="00AC2DD5" w:rsidRDefault="00AC2DD5">
      <w:pPr>
        <w:rPr>
          <w:rFonts w:asciiTheme="majorHAnsi" w:hAnsiTheme="majorHAnsi" w:cstheme="majorHAnsi"/>
          <w:szCs w:val="22"/>
          <w:lang w:val="en-GB"/>
        </w:rPr>
      </w:pPr>
      <w:r>
        <w:rPr>
          <w:rFonts w:asciiTheme="majorHAnsi" w:hAnsiTheme="majorHAnsi" w:cstheme="majorHAnsi"/>
          <w:szCs w:val="22"/>
          <w:lang w:val="en-GB"/>
        </w:rPr>
        <w:br w:type="page"/>
      </w:r>
    </w:p>
    <w:p w14:paraId="578B71DA" w14:textId="6490F7E4" w:rsidR="00AC2DD5" w:rsidRPr="00722F80" w:rsidRDefault="00AC2DD5" w:rsidP="00AC2DD5">
      <w:pPr>
        <w:rPr>
          <w:rFonts w:asciiTheme="majorHAnsi" w:hAnsiTheme="majorHAnsi" w:cstheme="majorHAnsi"/>
          <w:szCs w:val="22"/>
          <w:lang w:val="en-GB"/>
        </w:rPr>
      </w:pPr>
      <w:r w:rsidRPr="00722F80">
        <w:rPr>
          <w:rFonts w:asciiTheme="majorHAnsi" w:hAnsiTheme="majorHAnsi" w:cstheme="majorHAnsi"/>
          <w:szCs w:val="22"/>
          <w:lang w:val="en-GB"/>
        </w:rPr>
        <w:lastRenderedPageBreak/>
        <w:t xml:space="preserve">Relevant </w:t>
      </w:r>
      <w:r w:rsidRPr="00722F80">
        <w:rPr>
          <w:rFonts w:asciiTheme="majorHAnsi" w:hAnsiTheme="majorHAnsi" w:cstheme="majorHAnsi"/>
          <w:spacing w:val="1"/>
          <w:szCs w:val="22"/>
          <w:lang w:val="en-GB"/>
        </w:rPr>
        <w:t xml:space="preserve">experience </w:t>
      </w:r>
      <w:r w:rsidRPr="00722F80">
        <w:rPr>
          <w:rFonts w:asciiTheme="majorHAnsi" w:hAnsiTheme="majorHAnsi" w:cstheme="majorHAnsi"/>
          <w:szCs w:val="22"/>
          <w:lang w:val="en-GB"/>
        </w:rPr>
        <w:t>of the tenderer- expert (</w:t>
      </w:r>
      <w:r w:rsidRPr="00722F80">
        <w:rPr>
          <w:rFonts w:asciiTheme="majorHAnsi" w:hAnsiTheme="majorHAnsi" w:cstheme="majorHAnsi"/>
          <w:i/>
          <w:iCs/>
          <w:szCs w:val="22"/>
          <w:lang w:val="en-GB"/>
        </w:rPr>
        <w:t>Name and Surname</w:t>
      </w:r>
      <w:r w:rsidRPr="00722F80">
        <w:rPr>
          <w:rFonts w:asciiTheme="majorHAnsi" w:hAnsiTheme="majorHAnsi" w:cstheme="majorHAnsi"/>
          <w:szCs w:val="22"/>
          <w:lang w:val="en-GB"/>
        </w:rPr>
        <w:t xml:space="preserve">) ________________________, related to the </w:t>
      </w:r>
      <w:r>
        <w:rPr>
          <w:rFonts w:asciiTheme="majorHAnsi" w:hAnsiTheme="majorHAnsi" w:cstheme="majorHAnsi"/>
          <w:color w:val="000000"/>
          <w:szCs w:val="22"/>
          <w:lang w:val="en-GB"/>
        </w:rPr>
        <w:t>economic aspects of c</w:t>
      </w:r>
      <w:r w:rsidRPr="00722F80">
        <w:rPr>
          <w:rFonts w:asciiTheme="majorHAnsi" w:hAnsiTheme="majorHAnsi" w:cstheme="majorHAnsi"/>
          <w:color w:val="000000"/>
          <w:szCs w:val="22"/>
          <w:lang w:val="en-GB"/>
        </w:rPr>
        <w:t>limate change in which the Tender was involved as a key expert/coordinator</w:t>
      </w:r>
      <w:r w:rsidRPr="00722F80">
        <w:rPr>
          <w:rFonts w:asciiTheme="majorHAnsi" w:hAnsiTheme="majorHAnsi" w:cstheme="majorHAnsi"/>
          <w:szCs w:val="22"/>
          <w:lang w:val="en-GB"/>
        </w:rPr>
        <w:t xml:space="preserve">: </w:t>
      </w:r>
    </w:p>
    <w:p w14:paraId="1B9B9123" w14:textId="77777777" w:rsidR="00AC2DD5" w:rsidRPr="00722F80" w:rsidRDefault="00AC2DD5" w:rsidP="00AC2DD5">
      <w:pPr>
        <w:rPr>
          <w:rFonts w:asciiTheme="majorHAnsi" w:hAnsiTheme="majorHAnsi" w:cstheme="majorHAnsi"/>
          <w:szCs w:val="22"/>
          <w:lang w:val="en-GB"/>
        </w:rPr>
      </w:pPr>
    </w:p>
    <w:p w14:paraId="3A1BB67E" w14:textId="77777777" w:rsidR="00AC2DD5" w:rsidRPr="00722F80" w:rsidRDefault="00AC2DD5" w:rsidP="00AC2DD5">
      <w:pPr>
        <w:rPr>
          <w:rFonts w:asciiTheme="majorHAnsi" w:hAnsiTheme="majorHAnsi" w:cstheme="majorHAnsi"/>
          <w:szCs w:val="22"/>
          <w:lang w:val="en-GB"/>
        </w:rPr>
      </w:pPr>
    </w:p>
    <w:p w14:paraId="5434E440" w14:textId="77777777" w:rsidR="00AC2DD5" w:rsidRPr="00722F80" w:rsidRDefault="00AC2DD5" w:rsidP="00AC2DD5">
      <w:pPr>
        <w:rPr>
          <w:rFonts w:asciiTheme="majorHAnsi" w:hAnsiTheme="majorHAnsi" w:cstheme="majorHAnsi"/>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AC2DD5" w:rsidRPr="00722F80" w14:paraId="1087D412" w14:textId="77777777" w:rsidTr="00FA7B44">
        <w:tc>
          <w:tcPr>
            <w:tcW w:w="738" w:type="dxa"/>
            <w:shd w:val="clear" w:color="auto" w:fill="auto"/>
          </w:tcPr>
          <w:p w14:paraId="0C255B59"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No</w:t>
            </w:r>
            <w:r w:rsidRPr="00722F80">
              <w:rPr>
                <w:rStyle w:val="FootnoteReference"/>
                <w:rFonts w:asciiTheme="majorHAnsi" w:hAnsiTheme="majorHAnsi" w:cstheme="majorHAnsi"/>
                <w:szCs w:val="22"/>
                <w:lang w:val="en-GB"/>
              </w:rPr>
              <w:footnoteReference w:id="4"/>
            </w:r>
            <w:r w:rsidRPr="00722F80">
              <w:rPr>
                <w:rFonts w:asciiTheme="majorHAnsi" w:hAnsiTheme="majorHAnsi" w:cstheme="majorHAnsi"/>
                <w:szCs w:val="22"/>
                <w:lang w:val="en-GB"/>
              </w:rPr>
              <w:t>.</w:t>
            </w:r>
          </w:p>
        </w:tc>
        <w:tc>
          <w:tcPr>
            <w:tcW w:w="5891" w:type="dxa"/>
            <w:shd w:val="clear" w:color="auto" w:fill="auto"/>
          </w:tcPr>
          <w:p w14:paraId="102E0E9F"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Experience (name of the project or other type of engagement)</w:t>
            </w:r>
          </w:p>
        </w:tc>
        <w:tc>
          <w:tcPr>
            <w:tcW w:w="1559" w:type="dxa"/>
          </w:tcPr>
          <w:p w14:paraId="51F3A075"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Role of the expert</w:t>
            </w:r>
          </w:p>
        </w:tc>
        <w:tc>
          <w:tcPr>
            <w:tcW w:w="992" w:type="dxa"/>
            <w:shd w:val="clear" w:color="auto" w:fill="auto"/>
          </w:tcPr>
          <w:p w14:paraId="0A5F9946"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Year</w:t>
            </w:r>
          </w:p>
        </w:tc>
      </w:tr>
      <w:tr w:rsidR="00AC2DD5" w:rsidRPr="00722F80" w14:paraId="29BBB919" w14:textId="77777777" w:rsidTr="00FA7B44">
        <w:tc>
          <w:tcPr>
            <w:tcW w:w="738" w:type="dxa"/>
            <w:shd w:val="clear" w:color="auto" w:fill="auto"/>
          </w:tcPr>
          <w:p w14:paraId="45DF6E83"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1.</w:t>
            </w:r>
          </w:p>
        </w:tc>
        <w:tc>
          <w:tcPr>
            <w:tcW w:w="5891" w:type="dxa"/>
            <w:shd w:val="clear" w:color="auto" w:fill="auto"/>
          </w:tcPr>
          <w:p w14:paraId="279F655E" w14:textId="77777777" w:rsidR="00AC2DD5" w:rsidRPr="00722F80" w:rsidRDefault="00AC2DD5" w:rsidP="00FA7B44">
            <w:pPr>
              <w:rPr>
                <w:rFonts w:asciiTheme="majorHAnsi" w:hAnsiTheme="majorHAnsi" w:cstheme="majorHAnsi"/>
                <w:szCs w:val="22"/>
                <w:lang w:val="en-GB"/>
              </w:rPr>
            </w:pPr>
          </w:p>
        </w:tc>
        <w:tc>
          <w:tcPr>
            <w:tcW w:w="1559" w:type="dxa"/>
          </w:tcPr>
          <w:p w14:paraId="29008F75" w14:textId="77777777" w:rsidR="00AC2DD5" w:rsidRPr="00722F80" w:rsidRDefault="00AC2DD5" w:rsidP="00FA7B44">
            <w:pPr>
              <w:rPr>
                <w:rFonts w:asciiTheme="majorHAnsi" w:hAnsiTheme="majorHAnsi" w:cstheme="majorHAnsi"/>
                <w:szCs w:val="22"/>
                <w:lang w:val="en-GB"/>
              </w:rPr>
            </w:pPr>
          </w:p>
        </w:tc>
        <w:tc>
          <w:tcPr>
            <w:tcW w:w="992" w:type="dxa"/>
            <w:shd w:val="clear" w:color="auto" w:fill="auto"/>
          </w:tcPr>
          <w:p w14:paraId="158C39D9" w14:textId="77777777" w:rsidR="00AC2DD5" w:rsidRPr="00722F80" w:rsidRDefault="00AC2DD5" w:rsidP="00FA7B44">
            <w:pPr>
              <w:rPr>
                <w:rFonts w:asciiTheme="majorHAnsi" w:hAnsiTheme="majorHAnsi" w:cstheme="majorHAnsi"/>
                <w:szCs w:val="22"/>
                <w:lang w:val="en-GB"/>
              </w:rPr>
            </w:pPr>
          </w:p>
          <w:p w14:paraId="3F93F21B" w14:textId="77777777" w:rsidR="00AC2DD5" w:rsidRPr="00722F80" w:rsidRDefault="00AC2DD5" w:rsidP="00FA7B44">
            <w:pPr>
              <w:rPr>
                <w:rFonts w:asciiTheme="majorHAnsi" w:hAnsiTheme="majorHAnsi" w:cstheme="majorHAnsi"/>
                <w:szCs w:val="22"/>
                <w:lang w:val="en-GB"/>
              </w:rPr>
            </w:pPr>
          </w:p>
        </w:tc>
      </w:tr>
      <w:tr w:rsidR="00AC2DD5" w:rsidRPr="00722F80" w14:paraId="49BF00B5" w14:textId="77777777" w:rsidTr="00FA7B44">
        <w:tc>
          <w:tcPr>
            <w:tcW w:w="738" w:type="dxa"/>
            <w:shd w:val="clear" w:color="auto" w:fill="auto"/>
          </w:tcPr>
          <w:p w14:paraId="21B8ABE8"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2.</w:t>
            </w:r>
          </w:p>
        </w:tc>
        <w:tc>
          <w:tcPr>
            <w:tcW w:w="5891" w:type="dxa"/>
            <w:shd w:val="clear" w:color="auto" w:fill="auto"/>
          </w:tcPr>
          <w:p w14:paraId="44A7A31F" w14:textId="77777777" w:rsidR="00AC2DD5" w:rsidRPr="00722F80" w:rsidRDefault="00AC2DD5" w:rsidP="00FA7B44">
            <w:pPr>
              <w:rPr>
                <w:rFonts w:asciiTheme="majorHAnsi" w:hAnsiTheme="majorHAnsi" w:cstheme="majorHAnsi"/>
                <w:szCs w:val="22"/>
                <w:lang w:val="en-GB"/>
              </w:rPr>
            </w:pPr>
          </w:p>
        </w:tc>
        <w:tc>
          <w:tcPr>
            <w:tcW w:w="1559" w:type="dxa"/>
          </w:tcPr>
          <w:p w14:paraId="6E29ACCF" w14:textId="77777777" w:rsidR="00AC2DD5" w:rsidRPr="00722F80" w:rsidRDefault="00AC2DD5" w:rsidP="00FA7B44">
            <w:pPr>
              <w:rPr>
                <w:rFonts w:asciiTheme="majorHAnsi" w:hAnsiTheme="majorHAnsi" w:cstheme="majorHAnsi"/>
                <w:szCs w:val="22"/>
                <w:lang w:val="en-GB"/>
              </w:rPr>
            </w:pPr>
          </w:p>
        </w:tc>
        <w:tc>
          <w:tcPr>
            <w:tcW w:w="992" w:type="dxa"/>
            <w:shd w:val="clear" w:color="auto" w:fill="auto"/>
          </w:tcPr>
          <w:p w14:paraId="4FD76527" w14:textId="77777777" w:rsidR="00AC2DD5" w:rsidRPr="00722F80" w:rsidRDefault="00AC2DD5" w:rsidP="00FA7B44">
            <w:pPr>
              <w:rPr>
                <w:rFonts w:asciiTheme="majorHAnsi" w:hAnsiTheme="majorHAnsi" w:cstheme="majorHAnsi"/>
                <w:szCs w:val="22"/>
                <w:lang w:val="en-GB"/>
              </w:rPr>
            </w:pPr>
          </w:p>
          <w:p w14:paraId="15506F00" w14:textId="77777777" w:rsidR="00AC2DD5" w:rsidRPr="00722F80" w:rsidRDefault="00AC2DD5" w:rsidP="00FA7B44">
            <w:pPr>
              <w:rPr>
                <w:rFonts w:asciiTheme="majorHAnsi" w:hAnsiTheme="majorHAnsi" w:cstheme="majorHAnsi"/>
                <w:szCs w:val="22"/>
                <w:lang w:val="en-GB"/>
              </w:rPr>
            </w:pPr>
          </w:p>
        </w:tc>
      </w:tr>
      <w:tr w:rsidR="00AC2DD5" w:rsidRPr="00722F80" w14:paraId="06206C28" w14:textId="77777777" w:rsidTr="00FA7B44">
        <w:tc>
          <w:tcPr>
            <w:tcW w:w="738" w:type="dxa"/>
            <w:shd w:val="clear" w:color="auto" w:fill="auto"/>
          </w:tcPr>
          <w:p w14:paraId="3F8AF1F3"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3.</w:t>
            </w:r>
          </w:p>
        </w:tc>
        <w:tc>
          <w:tcPr>
            <w:tcW w:w="5891" w:type="dxa"/>
            <w:shd w:val="clear" w:color="auto" w:fill="auto"/>
          </w:tcPr>
          <w:p w14:paraId="5070DB15" w14:textId="77777777" w:rsidR="00AC2DD5" w:rsidRPr="00722F80" w:rsidRDefault="00AC2DD5" w:rsidP="00FA7B44">
            <w:pPr>
              <w:rPr>
                <w:rFonts w:asciiTheme="majorHAnsi" w:hAnsiTheme="majorHAnsi" w:cstheme="majorHAnsi"/>
                <w:szCs w:val="22"/>
                <w:lang w:val="en-GB"/>
              </w:rPr>
            </w:pPr>
          </w:p>
        </w:tc>
        <w:tc>
          <w:tcPr>
            <w:tcW w:w="1559" w:type="dxa"/>
          </w:tcPr>
          <w:p w14:paraId="14918C5F" w14:textId="77777777" w:rsidR="00AC2DD5" w:rsidRPr="00722F80" w:rsidRDefault="00AC2DD5" w:rsidP="00FA7B44">
            <w:pPr>
              <w:rPr>
                <w:rFonts w:asciiTheme="majorHAnsi" w:hAnsiTheme="majorHAnsi" w:cstheme="majorHAnsi"/>
                <w:szCs w:val="22"/>
                <w:lang w:val="en-GB"/>
              </w:rPr>
            </w:pPr>
          </w:p>
        </w:tc>
        <w:tc>
          <w:tcPr>
            <w:tcW w:w="992" w:type="dxa"/>
            <w:shd w:val="clear" w:color="auto" w:fill="auto"/>
          </w:tcPr>
          <w:p w14:paraId="2EC2E6E3" w14:textId="77777777" w:rsidR="00AC2DD5" w:rsidRPr="00722F80" w:rsidRDefault="00AC2DD5" w:rsidP="00FA7B44">
            <w:pPr>
              <w:rPr>
                <w:rFonts w:asciiTheme="majorHAnsi" w:hAnsiTheme="majorHAnsi" w:cstheme="majorHAnsi"/>
                <w:szCs w:val="22"/>
                <w:lang w:val="en-GB"/>
              </w:rPr>
            </w:pPr>
          </w:p>
        </w:tc>
      </w:tr>
      <w:tr w:rsidR="00AC2DD5" w:rsidRPr="00722F80" w14:paraId="3320FB67" w14:textId="77777777" w:rsidTr="00FA7B44">
        <w:tc>
          <w:tcPr>
            <w:tcW w:w="738" w:type="dxa"/>
            <w:shd w:val="clear" w:color="auto" w:fill="auto"/>
          </w:tcPr>
          <w:p w14:paraId="24E1FE45"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4.</w:t>
            </w:r>
          </w:p>
        </w:tc>
        <w:tc>
          <w:tcPr>
            <w:tcW w:w="5891" w:type="dxa"/>
            <w:shd w:val="clear" w:color="auto" w:fill="auto"/>
          </w:tcPr>
          <w:p w14:paraId="0CE45857" w14:textId="77777777" w:rsidR="00AC2DD5" w:rsidRPr="00722F80" w:rsidRDefault="00AC2DD5" w:rsidP="00FA7B44">
            <w:pPr>
              <w:rPr>
                <w:rFonts w:asciiTheme="majorHAnsi" w:hAnsiTheme="majorHAnsi" w:cstheme="majorHAnsi"/>
                <w:szCs w:val="22"/>
                <w:lang w:val="en-GB"/>
              </w:rPr>
            </w:pPr>
          </w:p>
        </w:tc>
        <w:tc>
          <w:tcPr>
            <w:tcW w:w="1559" w:type="dxa"/>
          </w:tcPr>
          <w:p w14:paraId="2F1DA8B8" w14:textId="77777777" w:rsidR="00AC2DD5" w:rsidRPr="00722F80" w:rsidRDefault="00AC2DD5" w:rsidP="00FA7B44">
            <w:pPr>
              <w:rPr>
                <w:rFonts w:asciiTheme="majorHAnsi" w:hAnsiTheme="majorHAnsi" w:cstheme="majorHAnsi"/>
                <w:szCs w:val="22"/>
                <w:lang w:val="en-GB"/>
              </w:rPr>
            </w:pPr>
          </w:p>
        </w:tc>
        <w:tc>
          <w:tcPr>
            <w:tcW w:w="992" w:type="dxa"/>
            <w:shd w:val="clear" w:color="auto" w:fill="auto"/>
          </w:tcPr>
          <w:p w14:paraId="1FDE6DA4" w14:textId="77777777" w:rsidR="00AC2DD5" w:rsidRPr="00722F80" w:rsidRDefault="00AC2DD5" w:rsidP="00FA7B44">
            <w:pPr>
              <w:rPr>
                <w:rFonts w:asciiTheme="majorHAnsi" w:hAnsiTheme="majorHAnsi" w:cstheme="majorHAnsi"/>
                <w:szCs w:val="22"/>
                <w:lang w:val="en-GB"/>
              </w:rPr>
            </w:pPr>
          </w:p>
        </w:tc>
      </w:tr>
      <w:tr w:rsidR="00AC2DD5" w:rsidRPr="00722F80" w14:paraId="68A9EEAF" w14:textId="77777777" w:rsidTr="00FA7B44">
        <w:tc>
          <w:tcPr>
            <w:tcW w:w="738" w:type="dxa"/>
            <w:shd w:val="clear" w:color="auto" w:fill="auto"/>
          </w:tcPr>
          <w:p w14:paraId="13597B8F"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5.</w:t>
            </w:r>
          </w:p>
        </w:tc>
        <w:tc>
          <w:tcPr>
            <w:tcW w:w="5891" w:type="dxa"/>
            <w:shd w:val="clear" w:color="auto" w:fill="auto"/>
          </w:tcPr>
          <w:p w14:paraId="6AE5C7F5" w14:textId="77777777" w:rsidR="00AC2DD5" w:rsidRPr="00722F80" w:rsidRDefault="00AC2DD5" w:rsidP="00FA7B44">
            <w:pPr>
              <w:rPr>
                <w:rFonts w:asciiTheme="majorHAnsi" w:hAnsiTheme="majorHAnsi" w:cstheme="majorHAnsi"/>
                <w:szCs w:val="22"/>
                <w:lang w:val="en-GB"/>
              </w:rPr>
            </w:pPr>
          </w:p>
        </w:tc>
        <w:tc>
          <w:tcPr>
            <w:tcW w:w="1559" w:type="dxa"/>
          </w:tcPr>
          <w:p w14:paraId="0C34E5E3" w14:textId="77777777" w:rsidR="00AC2DD5" w:rsidRPr="00722F80" w:rsidRDefault="00AC2DD5" w:rsidP="00FA7B44">
            <w:pPr>
              <w:rPr>
                <w:rFonts w:asciiTheme="majorHAnsi" w:hAnsiTheme="majorHAnsi" w:cstheme="majorHAnsi"/>
                <w:szCs w:val="22"/>
                <w:lang w:val="en-GB"/>
              </w:rPr>
            </w:pPr>
          </w:p>
        </w:tc>
        <w:tc>
          <w:tcPr>
            <w:tcW w:w="992" w:type="dxa"/>
            <w:shd w:val="clear" w:color="auto" w:fill="auto"/>
          </w:tcPr>
          <w:p w14:paraId="6463EDE2" w14:textId="77777777" w:rsidR="00AC2DD5" w:rsidRPr="00722F80" w:rsidRDefault="00AC2DD5" w:rsidP="00FA7B44">
            <w:pPr>
              <w:rPr>
                <w:rFonts w:asciiTheme="majorHAnsi" w:hAnsiTheme="majorHAnsi" w:cstheme="majorHAnsi"/>
                <w:szCs w:val="22"/>
                <w:lang w:val="en-GB"/>
              </w:rPr>
            </w:pPr>
          </w:p>
        </w:tc>
      </w:tr>
      <w:tr w:rsidR="00AC2DD5" w:rsidRPr="00722F80" w14:paraId="736A01D8" w14:textId="77777777" w:rsidTr="00FA7B44">
        <w:tc>
          <w:tcPr>
            <w:tcW w:w="738" w:type="dxa"/>
            <w:shd w:val="clear" w:color="auto" w:fill="auto"/>
          </w:tcPr>
          <w:p w14:paraId="5A36ABE1" w14:textId="77777777" w:rsidR="00AC2DD5" w:rsidRPr="00722F80" w:rsidRDefault="00AC2DD5" w:rsidP="00FA7B44">
            <w:pPr>
              <w:rPr>
                <w:rFonts w:asciiTheme="majorHAnsi" w:hAnsiTheme="majorHAnsi" w:cstheme="majorHAnsi"/>
                <w:szCs w:val="22"/>
                <w:lang w:val="en-GB"/>
              </w:rPr>
            </w:pPr>
            <w:r w:rsidRPr="00722F80">
              <w:rPr>
                <w:rFonts w:asciiTheme="majorHAnsi" w:hAnsiTheme="majorHAnsi" w:cstheme="majorHAnsi"/>
                <w:szCs w:val="22"/>
                <w:lang w:val="en-GB"/>
              </w:rPr>
              <w:t>6.</w:t>
            </w:r>
          </w:p>
        </w:tc>
        <w:tc>
          <w:tcPr>
            <w:tcW w:w="5891" w:type="dxa"/>
            <w:shd w:val="clear" w:color="auto" w:fill="auto"/>
          </w:tcPr>
          <w:p w14:paraId="7E6CBDB0" w14:textId="77777777" w:rsidR="00AC2DD5" w:rsidRPr="00722F80" w:rsidRDefault="00AC2DD5" w:rsidP="00FA7B44">
            <w:pPr>
              <w:rPr>
                <w:rFonts w:asciiTheme="majorHAnsi" w:hAnsiTheme="majorHAnsi" w:cstheme="majorHAnsi"/>
                <w:szCs w:val="22"/>
                <w:lang w:val="en-GB"/>
              </w:rPr>
            </w:pPr>
          </w:p>
        </w:tc>
        <w:tc>
          <w:tcPr>
            <w:tcW w:w="1559" w:type="dxa"/>
          </w:tcPr>
          <w:p w14:paraId="2CB5F8CF" w14:textId="77777777" w:rsidR="00AC2DD5" w:rsidRPr="00722F80" w:rsidRDefault="00AC2DD5" w:rsidP="00FA7B44">
            <w:pPr>
              <w:rPr>
                <w:rFonts w:asciiTheme="majorHAnsi" w:hAnsiTheme="majorHAnsi" w:cstheme="majorHAnsi"/>
                <w:szCs w:val="22"/>
                <w:lang w:val="en-GB"/>
              </w:rPr>
            </w:pPr>
          </w:p>
        </w:tc>
        <w:tc>
          <w:tcPr>
            <w:tcW w:w="992" w:type="dxa"/>
            <w:shd w:val="clear" w:color="auto" w:fill="auto"/>
          </w:tcPr>
          <w:p w14:paraId="5C16D804" w14:textId="77777777" w:rsidR="00AC2DD5" w:rsidRPr="00722F80" w:rsidRDefault="00AC2DD5" w:rsidP="00FA7B44">
            <w:pPr>
              <w:rPr>
                <w:rFonts w:asciiTheme="majorHAnsi" w:hAnsiTheme="majorHAnsi" w:cstheme="majorHAnsi"/>
                <w:szCs w:val="22"/>
                <w:lang w:val="en-GB"/>
              </w:rPr>
            </w:pPr>
          </w:p>
        </w:tc>
      </w:tr>
      <w:tr w:rsidR="00AC2DD5" w:rsidRPr="00722F80" w14:paraId="1AB8D87B" w14:textId="77777777" w:rsidTr="00FA7B44">
        <w:tc>
          <w:tcPr>
            <w:tcW w:w="738" w:type="dxa"/>
            <w:shd w:val="clear" w:color="auto" w:fill="auto"/>
          </w:tcPr>
          <w:p w14:paraId="44D5A6FE" w14:textId="77777777" w:rsidR="00AC2DD5" w:rsidRPr="00722F80" w:rsidRDefault="00AC2DD5" w:rsidP="00FA7B44">
            <w:pPr>
              <w:rPr>
                <w:rFonts w:asciiTheme="majorHAnsi" w:hAnsiTheme="majorHAnsi" w:cstheme="majorHAnsi"/>
                <w:szCs w:val="22"/>
                <w:lang w:val="en-GB"/>
              </w:rPr>
            </w:pPr>
            <w:r>
              <w:rPr>
                <w:rFonts w:asciiTheme="majorHAnsi" w:hAnsiTheme="majorHAnsi" w:cstheme="majorHAnsi"/>
                <w:szCs w:val="22"/>
                <w:lang w:val="en-GB"/>
              </w:rPr>
              <w:t>7.</w:t>
            </w:r>
          </w:p>
        </w:tc>
        <w:tc>
          <w:tcPr>
            <w:tcW w:w="5891" w:type="dxa"/>
            <w:shd w:val="clear" w:color="auto" w:fill="auto"/>
          </w:tcPr>
          <w:p w14:paraId="53742AED" w14:textId="77777777" w:rsidR="00AC2DD5" w:rsidRPr="00722F80" w:rsidRDefault="00AC2DD5" w:rsidP="00FA7B44">
            <w:pPr>
              <w:rPr>
                <w:rFonts w:asciiTheme="majorHAnsi" w:hAnsiTheme="majorHAnsi" w:cstheme="majorHAnsi"/>
                <w:szCs w:val="22"/>
                <w:lang w:val="en-GB"/>
              </w:rPr>
            </w:pPr>
          </w:p>
        </w:tc>
        <w:tc>
          <w:tcPr>
            <w:tcW w:w="1559" w:type="dxa"/>
          </w:tcPr>
          <w:p w14:paraId="2A9F98F8" w14:textId="77777777" w:rsidR="00AC2DD5" w:rsidRPr="00722F80" w:rsidRDefault="00AC2DD5" w:rsidP="00FA7B44">
            <w:pPr>
              <w:rPr>
                <w:rFonts w:asciiTheme="majorHAnsi" w:hAnsiTheme="majorHAnsi" w:cstheme="majorHAnsi"/>
                <w:szCs w:val="22"/>
                <w:lang w:val="en-GB"/>
              </w:rPr>
            </w:pPr>
          </w:p>
        </w:tc>
        <w:tc>
          <w:tcPr>
            <w:tcW w:w="992" w:type="dxa"/>
            <w:shd w:val="clear" w:color="auto" w:fill="auto"/>
          </w:tcPr>
          <w:p w14:paraId="47BC37E3" w14:textId="77777777" w:rsidR="00AC2DD5" w:rsidRPr="00722F80" w:rsidRDefault="00AC2DD5" w:rsidP="00FA7B44">
            <w:pPr>
              <w:rPr>
                <w:rFonts w:asciiTheme="majorHAnsi" w:hAnsiTheme="majorHAnsi" w:cstheme="majorHAnsi"/>
                <w:szCs w:val="22"/>
                <w:lang w:val="en-GB"/>
              </w:rPr>
            </w:pPr>
          </w:p>
        </w:tc>
      </w:tr>
    </w:tbl>
    <w:p w14:paraId="4055B86E" w14:textId="77777777" w:rsidR="00AC2DD5" w:rsidRPr="00722F80" w:rsidRDefault="00AC2DD5" w:rsidP="00AC2DD5">
      <w:pPr>
        <w:ind w:right="-180"/>
        <w:jc w:val="both"/>
        <w:rPr>
          <w:rFonts w:asciiTheme="majorHAnsi" w:hAnsiTheme="majorHAnsi" w:cstheme="majorHAnsi"/>
          <w:szCs w:val="22"/>
          <w:lang w:val="en-GB"/>
        </w:rPr>
      </w:pPr>
    </w:p>
    <w:p w14:paraId="0DB69CF0" w14:textId="77777777" w:rsidR="002D562D" w:rsidRPr="00722F80" w:rsidRDefault="002D562D" w:rsidP="002D562D">
      <w:pPr>
        <w:ind w:right="-180"/>
        <w:jc w:val="both"/>
        <w:rPr>
          <w:rFonts w:asciiTheme="majorHAnsi" w:hAnsiTheme="majorHAnsi" w:cstheme="majorHAnsi"/>
          <w:szCs w:val="22"/>
          <w:lang w:val="en-GB"/>
        </w:rPr>
      </w:pPr>
    </w:p>
    <w:p w14:paraId="5D508AB7" w14:textId="77777777" w:rsidR="002D562D" w:rsidRPr="00722F80" w:rsidRDefault="002D562D" w:rsidP="002D562D">
      <w:pPr>
        <w:rPr>
          <w:rFonts w:asciiTheme="majorHAnsi" w:hAnsiTheme="majorHAnsi" w:cstheme="majorHAnsi"/>
          <w:lang w:val="en-GB"/>
        </w:rPr>
      </w:pPr>
    </w:p>
    <w:p w14:paraId="75E67368" w14:textId="77777777" w:rsidR="002D562D" w:rsidRPr="00722F80" w:rsidRDefault="002D562D" w:rsidP="002D562D">
      <w:pPr>
        <w:rPr>
          <w:rFonts w:asciiTheme="majorHAnsi" w:hAnsiTheme="majorHAnsi" w:cstheme="majorHAnsi"/>
          <w:lang w:val="en-GB"/>
        </w:rPr>
      </w:pPr>
    </w:p>
    <w:p w14:paraId="24E65053" w14:textId="77777777" w:rsidR="002D562D" w:rsidRPr="00722F80" w:rsidRDefault="002D562D" w:rsidP="002D562D">
      <w:pPr>
        <w:rPr>
          <w:rFonts w:asciiTheme="majorHAnsi" w:hAnsiTheme="majorHAnsi" w:cstheme="majorHAnsi"/>
          <w:lang w:val="en-GB"/>
        </w:rPr>
      </w:pPr>
    </w:p>
    <w:p w14:paraId="32A4373A" w14:textId="77777777" w:rsidR="002D562D" w:rsidRPr="00722F80" w:rsidRDefault="002D562D" w:rsidP="002D562D">
      <w:pPr>
        <w:rPr>
          <w:rFonts w:asciiTheme="majorHAnsi" w:hAnsiTheme="majorHAnsi" w:cstheme="majorHAnsi"/>
          <w:lang w:val="en-GB"/>
        </w:rPr>
      </w:pPr>
    </w:p>
    <w:p w14:paraId="60E772F3" w14:textId="77777777" w:rsidR="002D562D" w:rsidRPr="00722F80" w:rsidRDefault="002D562D" w:rsidP="002D562D">
      <w:pPr>
        <w:rPr>
          <w:rFonts w:asciiTheme="majorHAnsi" w:hAnsiTheme="majorHAnsi" w:cstheme="majorHAnsi"/>
          <w:lang w:val="en-GB"/>
        </w:rPr>
      </w:pPr>
    </w:p>
    <w:p w14:paraId="2A31CE0A" w14:textId="2A609FF9" w:rsidR="002D562D" w:rsidRPr="00722F80" w:rsidRDefault="002D562D" w:rsidP="002D562D">
      <w:pPr>
        <w:pBdr>
          <w:bottom w:val="single" w:sz="12" w:space="1" w:color="auto"/>
        </w:pBdr>
        <w:shd w:val="clear" w:color="auto" w:fill="FFFFFF"/>
        <w:spacing w:line="509" w:lineRule="exact"/>
        <w:rPr>
          <w:rFonts w:asciiTheme="majorHAnsi" w:hAnsiTheme="majorHAnsi" w:cstheme="majorHAnsi"/>
          <w:color w:val="000000"/>
          <w:spacing w:val="-3"/>
          <w:lang w:val="en-GB"/>
        </w:rPr>
      </w:pPr>
      <w:r w:rsidRPr="00722F80">
        <w:rPr>
          <w:rFonts w:asciiTheme="majorHAnsi" w:hAnsiTheme="majorHAnsi" w:cstheme="majorHAnsi"/>
          <w:lang w:val="en-GB"/>
        </w:rPr>
        <w:t>In______, _______ 202</w:t>
      </w:r>
      <w:r w:rsidR="00115912" w:rsidRPr="00722F80">
        <w:rPr>
          <w:rFonts w:asciiTheme="majorHAnsi" w:hAnsiTheme="majorHAnsi" w:cstheme="majorHAnsi"/>
          <w:lang w:val="en-GB"/>
        </w:rPr>
        <w:t>3</w:t>
      </w:r>
      <w:r w:rsidR="00795B67" w:rsidRPr="00722F80">
        <w:rPr>
          <w:rFonts w:asciiTheme="majorHAnsi" w:hAnsiTheme="majorHAnsi" w:cstheme="majorHAnsi"/>
          <w:lang w:val="en-GB"/>
        </w:rPr>
        <w:t>.</w:t>
      </w:r>
    </w:p>
    <w:p w14:paraId="23F09DDA" w14:textId="77777777" w:rsidR="002D562D" w:rsidRPr="00722F80" w:rsidRDefault="002D562D" w:rsidP="002D562D">
      <w:pPr>
        <w:shd w:val="clear" w:color="auto" w:fill="FFFFFF"/>
        <w:spacing w:before="120" w:after="120"/>
        <w:jc w:val="right"/>
        <w:rPr>
          <w:rFonts w:asciiTheme="majorHAnsi" w:hAnsiTheme="majorHAnsi" w:cstheme="majorHAnsi"/>
          <w:color w:val="000000"/>
          <w:spacing w:val="-3"/>
          <w:lang w:val="en-GB"/>
        </w:rPr>
      </w:pPr>
      <w:r w:rsidRPr="00722F80">
        <w:rPr>
          <w:rFonts w:asciiTheme="majorHAnsi" w:hAnsiTheme="majorHAnsi" w:cstheme="majorHAnsi"/>
          <w:color w:val="000000"/>
          <w:spacing w:val="-3"/>
          <w:lang w:val="en-GB"/>
        </w:rPr>
        <w:t>(Full name of the applicant or legal representative)</w:t>
      </w:r>
    </w:p>
    <w:p w14:paraId="60E48890" w14:textId="77777777" w:rsidR="002D562D" w:rsidRPr="00722F80" w:rsidRDefault="002D562D" w:rsidP="002D562D">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59C784EC" w14:textId="77777777" w:rsidR="002D562D" w:rsidRPr="00722F80" w:rsidRDefault="002D562D" w:rsidP="002D562D">
      <w:pPr>
        <w:shd w:val="clear" w:color="auto" w:fill="FFFFFF"/>
        <w:spacing w:before="120" w:after="120"/>
        <w:jc w:val="right"/>
        <w:rPr>
          <w:rFonts w:asciiTheme="majorHAnsi" w:hAnsiTheme="majorHAnsi" w:cstheme="majorHAnsi"/>
          <w:color w:val="000000"/>
          <w:spacing w:val="-3"/>
          <w:lang w:val="en-GB"/>
        </w:rPr>
      </w:pPr>
      <w:r w:rsidRPr="00722F80">
        <w:rPr>
          <w:rFonts w:asciiTheme="majorHAnsi" w:hAnsiTheme="majorHAnsi" w:cstheme="majorHAnsi"/>
          <w:color w:val="000000"/>
          <w:spacing w:val="-3"/>
          <w:lang w:val="en-GB"/>
        </w:rPr>
        <w:t>(Signature of the applicant or legal representative)</w:t>
      </w:r>
    </w:p>
    <w:p w14:paraId="56432AF9" w14:textId="77777777" w:rsidR="002D562D" w:rsidRPr="00722F80" w:rsidRDefault="002D562D" w:rsidP="002D562D">
      <w:pPr>
        <w:pStyle w:val="Heading1"/>
        <w:rPr>
          <w:rFonts w:asciiTheme="majorHAnsi" w:hAnsiTheme="majorHAnsi" w:cstheme="majorHAnsi"/>
          <w:lang w:val="en-GB"/>
        </w:rPr>
      </w:pPr>
      <w:r w:rsidRPr="00722F80">
        <w:rPr>
          <w:rFonts w:asciiTheme="majorHAnsi" w:hAnsiTheme="majorHAnsi" w:cstheme="majorHAnsi"/>
          <w:color w:val="000000"/>
          <w:spacing w:val="-3"/>
          <w:lang w:val="en-GB"/>
        </w:rPr>
        <w:br w:type="page"/>
      </w:r>
      <w:bookmarkStart w:id="12" w:name="_Hlk28471004"/>
      <w:r w:rsidRPr="00722F80">
        <w:rPr>
          <w:rFonts w:asciiTheme="majorHAnsi" w:hAnsiTheme="majorHAnsi" w:cstheme="majorHAnsi"/>
          <w:lang w:val="en-GB"/>
        </w:rPr>
        <w:lastRenderedPageBreak/>
        <w:t>Annex 3</w:t>
      </w:r>
    </w:p>
    <w:p w14:paraId="69D4791B" w14:textId="77777777" w:rsidR="002D562D" w:rsidRPr="00722F80" w:rsidRDefault="002D562D" w:rsidP="002D562D">
      <w:pPr>
        <w:pStyle w:val="Heading1"/>
        <w:spacing w:after="240"/>
        <w:rPr>
          <w:rFonts w:asciiTheme="majorHAnsi" w:hAnsiTheme="majorHAnsi" w:cstheme="majorHAnsi"/>
          <w:lang w:val="en-GB"/>
        </w:rPr>
      </w:pPr>
      <w:r w:rsidRPr="00722F80">
        <w:rPr>
          <w:rFonts w:asciiTheme="majorHAnsi" w:hAnsiTheme="majorHAnsi" w:cstheme="majorHAnsi"/>
          <w:lang w:val="en-GB"/>
        </w:rPr>
        <w:t>Cost statement</w:t>
      </w:r>
    </w:p>
    <w:p w14:paraId="334E6BDA" w14:textId="77777777" w:rsidR="002D562D" w:rsidRPr="00722F80" w:rsidRDefault="002D562D" w:rsidP="002D562D">
      <w:pPr>
        <w:rPr>
          <w:rFonts w:asciiTheme="majorHAnsi" w:hAnsiTheme="majorHAnsi" w:cstheme="majorHAnsi"/>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33"/>
        <w:gridCol w:w="819"/>
        <w:gridCol w:w="1234"/>
        <w:gridCol w:w="2091"/>
        <w:gridCol w:w="2046"/>
      </w:tblGrid>
      <w:tr w:rsidR="002D562D" w:rsidRPr="00722F80" w14:paraId="3B4328D8" w14:textId="77777777" w:rsidTr="00445AAA">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36FBAD00" w14:textId="60385B60" w:rsidR="00FB5E56" w:rsidRPr="00722F80" w:rsidRDefault="002D562D" w:rsidP="00FB5E56">
            <w:pPr>
              <w:spacing w:after="120"/>
              <w:jc w:val="both"/>
              <w:rPr>
                <w:rFonts w:asciiTheme="majorHAnsi" w:hAnsiTheme="majorHAnsi" w:cstheme="majorHAnsi"/>
                <w:b/>
                <w:i/>
                <w:lang w:val="en-GB"/>
              </w:rPr>
            </w:pPr>
            <w:r w:rsidRPr="00722F80">
              <w:rPr>
                <w:rFonts w:asciiTheme="majorHAnsi" w:hAnsiTheme="majorHAnsi" w:cstheme="majorHAnsi"/>
                <w:b/>
                <w:i/>
                <w:szCs w:val="22"/>
                <w:lang w:val="en-GB"/>
              </w:rPr>
              <w:t>T</w:t>
            </w:r>
            <w:r w:rsidRPr="00722F80">
              <w:rPr>
                <w:rFonts w:asciiTheme="majorHAnsi" w:hAnsiTheme="majorHAnsi" w:cstheme="majorHAnsi"/>
                <w:b/>
                <w:i/>
                <w:lang w:val="en-GB"/>
              </w:rPr>
              <w:t>echnical description and cost statement for the</w:t>
            </w:r>
            <w:r w:rsidR="001B08DA" w:rsidRPr="00722F80">
              <w:rPr>
                <w:lang w:val="en-GB"/>
              </w:rPr>
              <w:t xml:space="preserve"> </w:t>
            </w:r>
            <w:r w:rsidR="005118C0">
              <w:rPr>
                <w:rFonts w:asciiTheme="majorHAnsi" w:hAnsiTheme="majorHAnsi" w:cstheme="majorHAnsi"/>
                <w:b/>
                <w:i/>
                <w:lang w:val="en-GB"/>
              </w:rPr>
              <w:t>Tenderer</w:t>
            </w:r>
            <w:r w:rsidR="008320C0" w:rsidRPr="008320C0">
              <w:rPr>
                <w:rFonts w:asciiTheme="majorHAnsi" w:hAnsiTheme="majorHAnsi" w:cstheme="majorHAnsi"/>
                <w:b/>
                <w:i/>
                <w:lang w:val="en-GB"/>
              </w:rPr>
              <w:t xml:space="preserve"> to provide a Study on risks in investing in LECZ </w:t>
            </w:r>
            <w:r w:rsidR="001B08DA" w:rsidRPr="00722F80">
              <w:rPr>
                <w:rFonts w:asciiTheme="majorHAnsi" w:hAnsiTheme="majorHAnsi" w:cstheme="majorHAnsi"/>
                <w:b/>
                <w:i/>
                <w:lang w:val="en-GB"/>
              </w:rPr>
              <w:t xml:space="preserve">(GEF MedProgramme SCCF) </w:t>
            </w:r>
          </w:p>
          <w:p w14:paraId="628C4BC1" w14:textId="79BC8109" w:rsidR="002D562D" w:rsidRPr="00722F80" w:rsidRDefault="002D562D" w:rsidP="00445AAA">
            <w:pPr>
              <w:jc w:val="center"/>
              <w:rPr>
                <w:rFonts w:asciiTheme="majorHAnsi" w:hAnsiTheme="majorHAnsi" w:cstheme="majorHAnsi"/>
                <w:b/>
                <w:i/>
                <w:szCs w:val="22"/>
                <w:lang w:val="en-GB"/>
              </w:rPr>
            </w:pPr>
          </w:p>
        </w:tc>
      </w:tr>
      <w:tr w:rsidR="002D562D" w:rsidRPr="00722F80" w14:paraId="654B6F96" w14:textId="77777777" w:rsidTr="008318D0">
        <w:tc>
          <w:tcPr>
            <w:tcW w:w="628" w:type="dxa"/>
            <w:tcBorders>
              <w:top w:val="single" w:sz="4" w:space="0" w:color="auto"/>
              <w:left w:val="single" w:sz="4" w:space="0" w:color="auto"/>
              <w:bottom w:val="single" w:sz="4" w:space="0" w:color="auto"/>
              <w:right w:val="single" w:sz="4" w:space="0" w:color="auto"/>
            </w:tcBorders>
            <w:shd w:val="clear" w:color="auto" w:fill="EEECE1"/>
          </w:tcPr>
          <w:p w14:paraId="1A82B85E" w14:textId="77777777" w:rsidR="002D562D" w:rsidRPr="00722F80" w:rsidRDefault="002D562D" w:rsidP="00445AAA">
            <w:pPr>
              <w:jc w:val="center"/>
              <w:rPr>
                <w:rFonts w:asciiTheme="majorHAnsi" w:hAnsiTheme="majorHAnsi" w:cstheme="majorHAnsi"/>
                <w:lang w:val="en-GB"/>
              </w:rPr>
            </w:pPr>
            <w:r w:rsidRPr="00722F80">
              <w:rPr>
                <w:rFonts w:asciiTheme="majorHAnsi" w:hAnsiTheme="majorHAnsi" w:cstheme="majorHAnsi"/>
                <w:lang w:val="en-GB"/>
              </w:rPr>
              <w:t>No.</w:t>
            </w:r>
          </w:p>
        </w:tc>
        <w:tc>
          <w:tcPr>
            <w:tcW w:w="3033" w:type="dxa"/>
            <w:tcBorders>
              <w:top w:val="single" w:sz="4" w:space="0" w:color="auto"/>
              <w:left w:val="single" w:sz="4" w:space="0" w:color="auto"/>
              <w:bottom w:val="single" w:sz="4" w:space="0" w:color="auto"/>
              <w:right w:val="single" w:sz="4" w:space="0" w:color="auto"/>
            </w:tcBorders>
            <w:shd w:val="clear" w:color="auto" w:fill="EEECE1"/>
          </w:tcPr>
          <w:p w14:paraId="23E7B615" w14:textId="77777777" w:rsidR="002D562D" w:rsidRPr="00722F80" w:rsidRDefault="002D562D" w:rsidP="00445AAA">
            <w:pPr>
              <w:jc w:val="center"/>
              <w:rPr>
                <w:rFonts w:asciiTheme="majorHAnsi" w:hAnsiTheme="majorHAnsi" w:cstheme="majorHAnsi"/>
                <w:lang w:val="en-GB"/>
              </w:rPr>
            </w:pPr>
            <w:r w:rsidRPr="00722F80">
              <w:rPr>
                <w:rFonts w:asciiTheme="majorHAnsi" w:hAnsiTheme="majorHAnsi" w:cstheme="majorHAnsi"/>
                <w:lang w:val="en-GB"/>
              </w:rPr>
              <w:t>Deliverable description</w:t>
            </w:r>
          </w:p>
        </w:tc>
        <w:tc>
          <w:tcPr>
            <w:tcW w:w="819" w:type="dxa"/>
            <w:tcBorders>
              <w:top w:val="single" w:sz="4" w:space="0" w:color="auto"/>
              <w:left w:val="single" w:sz="4" w:space="0" w:color="auto"/>
              <w:bottom w:val="single" w:sz="4" w:space="0" w:color="auto"/>
              <w:right w:val="single" w:sz="4" w:space="0" w:color="auto"/>
            </w:tcBorders>
            <w:shd w:val="clear" w:color="auto" w:fill="EEECE1"/>
          </w:tcPr>
          <w:p w14:paraId="0B41057F" w14:textId="77777777" w:rsidR="002D562D" w:rsidRPr="00722F80" w:rsidRDefault="002D562D" w:rsidP="00445AAA">
            <w:pPr>
              <w:jc w:val="center"/>
              <w:rPr>
                <w:rFonts w:asciiTheme="majorHAnsi" w:hAnsiTheme="majorHAnsi" w:cstheme="majorHAnsi"/>
                <w:lang w:val="en-GB"/>
              </w:rPr>
            </w:pPr>
            <w:r w:rsidRPr="00722F80">
              <w:rPr>
                <w:rFonts w:asciiTheme="majorHAnsi" w:hAnsiTheme="majorHAnsi" w:cstheme="majorHAnsi"/>
                <w:lang w:val="en-GB"/>
              </w:rPr>
              <w:t xml:space="preserve">Unit </w:t>
            </w:r>
          </w:p>
        </w:tc>
        <w:tc>
          <w:tcPr>
            <w:tcW w:w="1234" w:type="dxa"/>
            <w:tcBorders>
              <w:top w:val="single" w:sz="4" w:space="0" w:color="auto"/>
              <w:left w:val="single" w:sz="4" w:space="0" w:color="auto"/>
              <w:bottom w:val="single" w:sz="4" w:space="0" w:color="auto"/>
              <w:right w:val="single" w:sz="4" w:space="0" w:color="auto"/>
            </w:tcBorders>
            <w:shd w:val="clear" w:color="auto" w:fill="EEECE1"/>
          </w:tcPr>
          <w:p w14:paraId="587C7FA6" w14:textId="37A60C76" w:rsidR="002D562D" w:rsidRPr="00722F80" w:rsidRDefault="002D562D" w:rsidP="00445AAA">
            <w:pPr>
              <w:jc w:val="center"/>
              <w:rPr>
                <w:rFonts w:asciiTheme="majorHAnsi" w:hAnsiTheme="majorHAnsi" w:cstheme="majorHAnsi"/>
                <w:lang w:val="en-GB"/>
              </w:rPr>
            </w:pPr>
            <w:r w:rsidRPr="00722F80">
              <w:rPr>
                <w:rFonts w:asciiTheme="majorHAnsi" w:hAnsiTheme="majorHAnsi" w:cstheme="majorHAnsi"/>
                <w:lang w:val="en-GB"/>
              </w:rPr>
              <w:t xml:space="preserve">Approx. </w:t>
            </w:r>
            <w:r w:rsidR="007F45FD" w:rsidRPr="00722F80">
              <w:rPr>
                <w:rFonts w:asciiTheme="majorHAnsi" w:hAnsiTheme="majorHAnsi" w:cstheme="majorHAnsi"/>
                <w:lang w:val="en-GB"/>
              </w:rPr>
              <w:t>A</w:t>
            </w:r>
            <w:r w:rsidRPr="00722F80">
              <w:rPr>
                <w:rFonts w:asciiTheme="majorHAnsi" w:hAnsiTheme="majorHAnsi" w:cstheme="majorHAnsi"/>
                <w:lang w:val="en-GB"/>
              </w:rPr>
              <w:t>mount</w:t>
            </w:r>
          </w:p>
        </w:tc>
        <w:tc>
          <w:tcPr>
            <w:tcW w:w="2091" w:type="dxa"/>
            <w:tcBorders>
              <w:top w:val="single" w:sz="4" w:space="0" w:color="auto"/>
              <w:left w:val="single" w:sz="4" w:space="0" w:color="auto"/>
              <w:bottom w:val="single" w:sz="4" w:space="0" w:color="auto"/>
              <w:right w:val="single" w:sz="4" w:space="0" w:color="auto"/>
            </w:tcBorders>
            <w:shd w:val="clear" w:color="auto" w:fill="EEECE1"/>
          </w:tcPr>
          <w:p w14:paraId="3B39EB15" w14:textId="0AEAC9F8" w:rsidR="002D562D" w:rsidRPr="00722F80" w:rsidRDefault="002D562D" w:rsidP="00445AAA">
            <w:pPr>
              <w:jc w:val="center"/>
              <w:rPr>
                <w:rFonts w:asciiTheme="majorHAnsi" w:hAnsiTheme="majorHAnsi" w:cstheme="majorHAnsi"/>
                <w:lang w:val="en-GB"/>
              </w:rPr>
            </w:pPr>
            <w:r w:rsidRPr="00722F80">
              <w:rPr>
                <w:rFonts w:asciiTheme="majorHAnsi" w:hAnsiTheme="majorHAnsi" w:cstheme="majorHAnsi"/>
                <w:lang w:val="en-GB"/>
              </w:rPr>
              <w:t>Unit price in USD</w:t>
            </w:r>
            <w:r w:rsidR="005E6CBB" w:rsidRPr="00722F80">
              <w:rPr>
                <w:rFonts w:asciiTheme="majorHAnsi" w:hAnsiTheme="majorHAnsi" w:cstheme="majorHAnsi"/>
                <w:lang w:val="en-GB"/>
              </w:rPr>
              <w:t xml:space="preserve"> (without VAT)</w:t>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37FC4E0F" w14:textId="4A0E6BED" w:rsidR="002D562D" w:rsidRPr="00722F80" w:rsidRDefault="002D562D" w:rsidP="00445AAA">
            <w:pPr>
              <w:jc w:val="center"/>
              <w:rPr>
                <w:rFonts w:asciiTheme="majorHAnsi" w:hAnsiTheme="majorHAnsi" w:cstheme="majorHAnsi"/>
                <w:lang w:val="en-GB"/>
              </w:rPr>
            </w:pPr>
            <w:r w:rsidRPr="00722F80">
              <w:rPr>
                <w:rFonts w:asciiTheme="majorHAnsi" w:hAnsiTheme="majorHAnsi" w:cstheme="majorHAnsi"/>
                <w:lang w:val="en-GB"/>
              </w:rPr>
              <w:t>Total USD</w:t>
            </w:r>
            <w:r w:rsidR="005E6CBB" w:rsidRPr="00722F80">
              <w:rPr>
                <w:rFonts w:asciiTheme="majorHAnsi" w:hAnsiTheme="majorHAnsi" w:cstheme="majorHAnsi"/>
                <w:lang w:val="en-GB"/>
              </w:rPr>
              <w:t xml:space="preserve"> (without VAT)</w:t>
            </w:r>
          </w:p>
        </w:tc>
      </w:tr>
      <w:tr w:rsidR="002D562D" w:rsidRPr="00722F80" w14:paraId="09FD4210" w14:textId="77777777" w:rsidTr="008318D0">
        <w:tc>
          <w:tcPr>
            <w:tcW w:w="628" w:type="dxa"/>
            <w:tcBorders>
              <w:top w:val="single" w:sz="4" w:space="0" w:color="auto"/>
              <w:left w:val="single" w:sz="4" w:space="0" w:color="auto"/>
              <w:bottom w:val="single" w:sz="4" w:space="0" w:color="auto"/>
              <w:right w:val="single" w:sz="4" w:space="0" w:color="auto"/>
            </w:tcBorders>
            <w:shd w:val="clear" w:color="auto" w:fill="auto"/>
          </w:tcPr>
          <w:p w14:paraId="1A04BB0A" w14:textId="77777777" w:rsidR="002D562D" w:rsidRPr="00722F80" w:rsidRDefault="002D562D" w:rsidP="00445AAA">
            <w:pPr>
              <w:rPr>
                <w:rFonts w:asciiTheme="majorHAnsi" w:hAnsiTheme="majorHAnsi" w:cstheme="majorHAnsi"/>
                <w:sz w:val="20"/>
                <w:lang w:val="en-GB"/>
              </w:rPr>
            </w:pPr>
            <w:r w:rsidRPr="00722F80">
              <w:rPr>
                <w:rFonts w:asciiTheme="majorHAnsi" w:hAnsiTheme="majorHAnsi" w:cstheme="majorHAnsi"/>
                <w:sz w:val="20"/>
                <w:lang w:val="en-GB"/>
              </w:rPr>
              <w:t>1.</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4288378A" w14:textId="3B57DB30" w:rsidR="002D562D" w:rsidRPr="00722F80" w:rsidRDefault="008318D0" w:rsidP="00445AAA">
            <w:pPr>
              <w:rPr>
                <w:rFonts w:asciiTheme="majorHAnsi" w:hAnsiTheme="majorHAnsi" w:cstheme="majorHAnsi"/>
                <w:i/>
                <w:sz w:val="20"/>
                <w:lang w:val="en-GB"/>
              </w:rPr>
            </w:pPr>
            <w:r>
              <w:rPr>
                <w:rFonts w:asciiTheme="majorHAnsi" w:hAnsiTheme="majorHAnsi" w:cstheme="majorHAnsi"/>
                <w:sz w:val="22"/>
                <w:szCs w:val="22"/>
                <w:lang w:val="en-GB"/>
              </w:rPr>
              <w:t>Study on risks for banks and other investors in funding developments in the LECZ</w:t>
            </w:r>
            <w:r w:rsidRPr="00722F80">
              <w:rPr>
                <w:rFonts w:asciiTheme="majorHAnsi" w:hAnsiTheme="majorHAnsi" w:cstheme="majorHAnsi"/>
                <w:i/>
                <w:sz w:val="20"/>
                <w:lang w:val="en-GB"/>
              </w:rPr>
              <w:t xml:space="preserve"> </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7EC778DA" w14:textId="1A577AAA" w:rsidR="002D562D" w:rsidRPr="00722F80" w:rsidRDefault="005B7E08" w:rsidP="00445AAA">
            <w:pPr>
              <w:jc w:val="center"/>
              <w:rPr>
                <w:rFonts w:asciiTheme="majorHAnsi" w:hAnsiTheme="majorHAnsi" w:cstheme="majorHAnsi"/>
                <w:color w:val="000000"/>
                <w:spacing w:val="4"/>
                <w:sz w:val="22"/>
                <w:szCs w:val="22"/>
                <w:lang w:val="en-GB"/>
              </w:rPr>
            </w:pPr>
            <w:r w:rsidRPr="00722F80">
              <w:rPr>
                <w:rFonts w:asciiTheme="majorHAnsi" w:hAnsiTheme="majorHAnsi" w:cstheme="majorHAnsi"/>
                <w:color w:val="000000"/>
                <w:spacing w:val="4"/>
                <w:sz w:val="22"/>
                <w:szCs w:val="22"/>
                <w:lang w:val="en-GB"/>
              </w:rPr>
              <w:t>Expert d</w:t>
            </w:r>
            <w:r w:rsidR="00EA4780" w:rsidRPr="00722F80">
              <w:rPr>
                <w:rFonts w:asciiTheme="majorHAnsi" w:hAnsiTheme="majorHAnsi" w:cstheme="majorHAnsi"/>
                <w:color w:val="000000"/>
                <w:spacing w:val="4"/>
                <w:sz w:val="22"/>
                <w:szCs w:val="22"/>
                <w:lang w:val="en-GB"/>
              </w:rPr>
              <w:t>ays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5744D96" w14:textId="2C31FBAD" w:rsidR="002D562D" w:rsidRPr="00722F80" w:rsidRDefault="002D562D" w:rsidP="00445AAA">
            <w:pPr>
              <w:jc w:val="center"/>
              <w:rPr>
                <w:rFonts w:asciiTheme="majorHAnsi" w:hAnsiTheme="majorHAnsi" w:cstheme="majorHAnsi"/>
                <w:szCs w:val="22"/>
                <w:lang w:val="en-GB"/>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9D16037" w14:textId="77777777" w:rsidR="002D562D" w:rsidRPr="00722F80" w:rsidRDefault="002D562D" w:rsidP="00445AAA">
            <w:pPr>
              <w:jc w:val="center"/>
              <w:rPr>
                <w:rFonts w:asciiTheme="majorHAnsi" w:hAnsiTheme="majorHAnsi" w:cstheme="majorHAnsi"/>
                <w:szCs w:val="22"/>
                <w:lang w:val="en-GB"/>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064E6F7" w14:textId="77777777" w:rsidR="002D562D" w:rsidRPr="00722F80" w:rsidRDefault="002D562D" w:rsidP="00445AAA">
            <w:pPr>
              <w:jc w:val="center"/>
              <w:rPr>
                <w:rFonts w:asciiTheme="majorHAnsi" w:hAnsiTheme="majorHAnsi" w:cstheme="majorHAnsi"/>
                <w:szCs w:val="22"/>
                <w:lang w:val="en-GB"/>
              </w:rPr>
            </w:pPr>
          </w:p>
        </w:tc>
      </w:tr>
      <w:tr w:rsidR="002D562D" w:rsidRPr="00722F80" w14:paraId="1AFFD6FC" w14:textId="77777777" w:rsidTr="008318D0">
        <w:tc>
          <w:tcPr>
            <w:tcW w:w="628" w:type="dxa"/>
            <w:tcBorders>
              <w:top w:val="single" w:sz="4" w:space="0" w:color="auto"/>
              <w:left w:val="single" w:sz="4" w:space="0" w:color="auto"/>
              <w:bottom w:val="single" w:sz="4" w:space="0" w:color="auto"/>
              <w:right w:val="single" w:sz="4" w:space="0" w:color="auto"/>
            </w:tcBorders>
            <w:shd w:val="clear" w:color="auto" w:fill="auto"/>
          </w:tcPr>
          <w:p w14:paraId="53DC195B" w14:textId="77777777" w:rsidR="002D562D" w:rsidRPr="00722F80" w:rsidRDefault="002D562D" w:rsidP="00445AAA">
            <w:pPr>
              <w:rPr>
                <w:rFonts w:asciiTheme="majorHAnsi" w:hAnsiTheme="majorHAnsi" w:cstheme="majorHAnsi"/>
                <w:sz w:val="20"/>
                <w:lang w:val="en-GB"/>
              </w:rPr>
            </w:pPr>
            <w:r w:rsidRPr="00722F80">
              <w:rPr>
                <w:rFonts w:asciiTheme="majorHAnsi" w:hAnsiTheme="majorHAnsi" w:cstheme="majorHAnsi"/>
                <w:sz w:val="20"/>
                <w:lang w:val="en-GB"/>
              </w:rPr>
              <w:t xml:space="preserve">2. </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2E92EEAF" w14:textId="0C6D9EB4" w:rsidR="00F84B87" w:rsidRPr="00722F80" w:rsidRDefault="008318D0" w:rsidP="00F84B87">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Two policy briefs</w:t>
            </w:r>
          </w:p>
          <w:p w14:paraId="3DC5A514" w14:textId="1F3E4615" w:rsidR="002D562D" w:rsidRPr="00722F80" w:rsidRDefault="002D562D" w:rsidP="00445AAA">
            <w:pPr>
              <w:pStyle w:val="ListParagraph"/>
              <w:shd w:val="clear" w:color="auto" w:fill="FFFFFF"/>
              <w:ind w:left="0"/>
              <w:rPr>
                <w:rFonts w:asciiTheme="majorHAnsi" w:hAnsiTheme="majorHAnsi" w:cstheme="majorHAnsi"/>
                <w:color w:val="222222"/>
                <w:sz w:val="22"/>
                <w:szCs w:val="22"/>
                <w:lang w:val="en-GB"/>
              </w:rPr>
            </w:pP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625AD51E" w14:textId="3ED1E128" w:rsidR="002D562D" w:rsidRPr="00722F80" w:rsidRDefault="005B7E08" w:rsidP="00445AAA">
            <w:pPr>
              <w:jc w:val="center"/>
              <w:rPr>
                <w:rFonts w:asciiTheme="majorHAnsi" w:hAnsiTheme="majorHAnsi" w:cstheme="majorHAnsi"/>
                <w:color w:val="000000"/>
                <w:spacing w:val="4"/>
                <w:sz w:val="22"/>
                <w:szCs w:val="22"/>
                <w:lang w:val="en-GB"/>
              </w:rPr>
            </w:pPr>
            <w:r w:rsidRPr="00722F80">
              <w:rPr>
                <w:rFonts w:asciiTheme="majorHAnsi" w:hAnsiTheme="majorHAnsi" w:cstheme="majorHAnsi"/>
                <w:color w:val="000000"/>
                <w:spacing w:val="4"/>
                <w:sz w:val="22"/>
                <w:szCs w:val="22"/>
                <w:lang w:val="en-GB"/>
              </w:rPr>
              <w:t>Expert days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1AECC78" w14:textId="1490E0B6" w:rsidR="002D562D" w:rsidRPr="00722F80" w:rsidRDefault="002D562D" w:rsidP="00445AAA">
            <w:pPr>
              <w:jc w:val="center"/>
              <w:rPr>
                <w:rFonts w:asciiTheme="majorHAnsi" w:hAnsiTheme="majorHAnsi" w:cstheme="majorHAnsi"/>
                <w:szCs w:val="22"/>
                <w:lang w:val="en-GB"/>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E6F900" w14:textId="77777777" w:rsidR="002D562D" w:rsidRPr="00722F80" w:rsidRDefault="002D562D" w:rsidP="00445AAA">
            <w:pPr>
              <w:jc w:val="center"/>
              <w:rPr>
                <w:rFonts w:asciiTheme="majorHAnsi" w:hAnsiTheme="majorHAnsi" w:cstheme="majorHAnsi"/>
                <w:szCs w:val="22"/>
                <w:lang w:val="en-GB"/>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CEB53EF" w14:textId="77777777" w:rsidR="002D562D" w:rsidRPr="00722F80" w:rsidRDefault="002D562D" w:rsidP="00445AAA">
            <w:pPr>
              <w:jc w:val="center"/>
              <w:rPr>
                <w:rFonts w:asciiTheme="majorHAnsi" w:hAnsiTheme="majorHAnsi" w:cstheme="majorHAnsi"/>
                <w:szCs w:val="22"/>
                <w:lang w:val="en-GB"/>
              </w:rPr>
            </w:pPr>
          </w:p>
        </w:tc>
      </w:tr>
      <w:tr w:rsidR="002D562D" w:rsidRPr="00722F80" w14:paraId="59252C12" w14:textId="77777777" w:rsidTr="008318D0">
        <w:tc>
          <w:tcPr>
            <w:tcW w:w="628" w:type="dxa"/>
            <w:tcBorders>
              <w:top w:val="single" w:sz="4" w:space="0" w:color="auto"/>
              <w:left w:val="single" w:sz="4" w:space="0" w:color="auto"/>
              <w:bottom w:val="single" w:sz="4" w:space="0" w:color="auto"/>
              <w:right w:val="single" w:sz="4" w:space="0" w:color="auto"/>
            </w:tcBorders>
            <w:shd w:val="clear" w:color="auto" w:fill="auto"/>
          </w:tcPr>
          <w:p w14:paraId="63E74F65" w14:textId="77777777" w:rsidR="002D562D" w:rsidRPr="00722F80" w:rsidRDefault="002D562D" w:rsidP="00445AAA">
            <w:pPr>
              <w:rPr>
                <w:rFonts w:asciiTheme="majorHAnsi" w:hAnsiTheme="majorHAnsi" w:cstheme="majorHAnsi"/>
                <w:sz w:val="20"/>
                <w:lang w:val="en-GB"/>
              </w:rPr>
            </w:pPr>
            <w:r w:rsidRPr="00722F80">
              <w:rPr>
                <w:rFonts w:asciiTheme="majorHAnsi" w:hAnsiTheme="majorHAnsi" w:cstheme="majorHAnsi"/>
                <w:sz w:val="20"/>
                <w:lang w:val="en-GB"/>
              </w:rPr>
              <w:t>3.</w:t>
            </w:r>
          </w:p>
        </w:tc>
        <w:tc>
          <w:tcPr>
            <w:tcW w:w="3033" w:type="dxa"/>
            <w:tcBorders>
              <w:top w:val="single" w:sz="4" w:space="0" w:color="auto"/>
              <w:left w:val="single" w:sz="4" w:space="0" w:color="auto"/>
              <w:bottom w:val="single" w:sz="4" w:space="0" w:color="auto"/>
              <w:right w:val="single" w:sz="4" w:space="0" w:color="auto"/>
            </w:tcBorders>
            <w:shd w:val="clear" w:color="auto" w:fill="auto"/>
          </w:tcPr>
          <w:p w14:paraId="3BDDCB54" w14:textId="3CBB3BC5" w:rsidR="002D562D" w:rsidRPr="00722F80" w:rsidRDefault="008318D0" w:rsidP="00445AAA">
            <w:pPr>
              <w:pStyle w:val="ListParagraph"/>
              <w:shd w:val="clear" w:color="auto" w:fill="FFFFFF"/>
              <w:ind w:left="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Presentation for the training workshop</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46CE3619" w14:textId="31BDB5A3" w:rsidR="002D562D" w:rsidRPr="00722F80" w:rsidRDefault="005B7E08" w:rsidP="00445AAA">
            <w:pPr>
              <w:jc w:val="center"/>
              <w:rPr>
                <w:rFonts w:asciiTheme="majorHAnsi" w:hAnsiTheme="majorHAnsi" w:cstheme="majorHAnsi"/>
                <w:color w:val="000000"/>
                <w:spacing w:val="4"/>
                <w:sz w:val="22"/>
                <w:szCs w:val="22"/>
                <w:lang w:val="en-GB"/>
              </w:rPr>
            </w:pPr>
            <w:r w:rsidRPr="00722F80">
              <w:rPr>
                <w:rFonts w:asciiTheme="majorHAnsi" w:hAnsiTheme="majorHAnsi" w:cstheme="majorHAnsi"/>
                <w:color w:val="000000"/>
                <w:spacing w:val="4"/>
                <w:sz w:val="22"/>
                <w:szCs w:val="22"/>
                <w:lang w:val="en-GB"/>
              </w:rPr>
              <w:t>Expert days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FFE3C17" w14:textId="150956D3" w:rsidR="002D562D" w:rsidRPr="00722F80" w:rsidRDefault="002D562D" w:rsidP="00445AAA">
            <w:pPr>
              <w:jc w:val="center"/>
              <w:rPr>
                <w:rFonts w:asciiTheme="majorHAnsi" w:hAnsiTheme="majorHAnsi" w:cstheme="majorHAnsi"/>
                <w:szCs w:val="22"/>
                <w:lang w:val="en-GB"/>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754247D" w14:textId="77777777" w:rsidR="002D562D" w:rsidRPr="00722F80" w:rsidRDefault="002D562D" w:rsidP="00445AAA">
            <w:pPr>
              <w:jc w:val="center"/>
              <w:rPr>
                <w:rFonts w:asciiTheme="majorHAnsi" w:hAnsiTheme="majorHAnsi" w:cstheme="majorHAnsi"/>
                <w:szCs w:val="22"/>
                <w:lang w:val="en-GB"/>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420872B4" w14:textId="77777777" w:rsidR="002D562D" w:rsidRPr="00722F80" w:rsidRDefault="002D562D" w:rsidP="00445AAA">
            <w:pPr>
              <w:jc w:val="center"/>
              <w:rPr>
                <w:rFonts w:asciiTheme="majorHAnsi" w:hAnsiTheme="majorHAnsi" w:cstheme="majorHAnsi"/>
                <w:szCs w:val="22"/>
                <w:lang w:val="en-GB"/>
              </w:rPr>
            </w:pPr>
          </w:p>
        </w:tc>
      </w:tr>
      <w:tr w:rsidR="005C2869" w:rsidRPr="00722F80" w14:paraId="2B089141" w14:textId="77777777" w:rsidTr="008318D0">
        <w:tc>
          <w:tcPr>
            <w:tcW w:w="7805" w:type="dxa"/>
            <w:gridSpan w:val="5"/>
            <w:tcBorders>
              <w:top w:val="single" w:sz="4" w:space="0" w:color="auto"/>
              <w:left w:val="single" w:sz="4" w:space="0" w:color="auto"/>
              <w:bottom w:val="single" w:sz="4" w:space="0" w:color="auto"/>
              <w:right w:val="single" w:sz="4" w:space="0" w:color="auto"/>
            </w:tcBorders>
            <w:shd w:val="clear" w:color="auto" w:fill="EEECE1"/>
          </w:tcPr>
          <w:p w14:paraId="35CF49CC" w14:textId="22365380" w:rsidR="005C2869" w:rsidRPr="00722F80" w:rsidRDefault="005C2869" w:rsidP="005C2869">
            <w:pPr>
              <w:jc w:val="right"/>
              <w:rPr>
                <w:rFonts w:asciiTheme="majorHAnsi" w:hAnsiTheme="majorHAnsi" w:cstheme="majorHAnsi"/>
                <w:b/>
                <w:i/>
                <w:szCs w:val="22"/>
                <w:lang w:val="en-GB"/>
              </w:rPr>
            </w:pPr>
            <w:r w:rsidRPr="00722F80">
              <w:rPr>
                <w:rFonts w:asciiTheme="majorHAnsi" w:hAnsiTheme="majorHAnsi" w:cstheme="majorHAnsi"/>
                <w:b/>
                <w:i/>
                <w:szCs w:val="22"/>
                <w:lang w:val="en-GB"/>
              </w:rPr>
              <w:t>Total pre-VAT price in USD</w:t>
            </w:r>
            <w:r w:rsidRPr="00722F80">
              <w:rPr>
                <w:rFonts w:asciiTheme="majorHAnsi" w:hAnsiTheme="majorHAnsi" w:cstheme="majorHAnsi"/>
                <w:szCs w:val="22"/>
                <w:lang w:val="en-GB"/>
              </w:rPr>
              <w:t xml:space="preserve"> </w:t>
            </w:r>
            <w:r w:rsidRPr="00722F80">
              <w:rPr>
                <w:rFonts w:asciiTheme="majorHAnsi" w:hAnsiTheme="majorHAnsi" w:cstheme="majorHAnsi"/>
                <w:szCs w:val="22"/>
                <w:vertAlign w:val="superscript"/>
                <w:lang w:val="en-GB"/>
              </w:rPr>
              <w:footnoteReference w:id="5"/>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6C4EEDE0" w14:textId="77777777" w:rsidR="005C2869" w:rsidRPr="00722F80" w:rsidRDefault="005C2869" w:rsidP="005C2869">
            <w:pPr>
              <w:rPr>
                <w:rFonts w:asciiTheme="majorHAnsi" w:hAnsiTheme="majorHAnsi" w:cstheme="majorHAnsi"/>
                <w:b/>
                <w:i/>
                <w:szCs w:val="22"/>
                <w:lang w:val="en-GB"/>
              </w:rPr>
            </w:pPr>
          </w:p>
        </w:tc>
      </w:tr>
      <w:tr w:rsidR="005C2869" w:rsidRPr="00722F80" w14:paraId="58785360" w14:textId="77777777" w:rsidTr="008318D0">
        <w:tc>
          <w:tcPr>
            <w:tcW w:w="7805" w:type="dxa"/>
            <w:gridSpan w:val="5"/>
            <w:tcBorders>
              <w:top w:val="single" w:sz="4" w:space="0" w:color="auto"/>
              <w:left w:val="single" w:sz="4" w:space="0" w:color="auto"/>
              <w:bottom w:val="single" w:sz="4" w:space="0" w:color="auto"/>
              <w:right w:val="single" w:sz="4" w:space="0" w:color="auto"/>
            </w:tcBorders>
            <w:shd w:val="clear" w:color="auto" w:fill="EEECE1"/>
          </w:tcPr>
          <w:p w14:paraId="6510DD7D" w14:textId="29F5724B" w:rsidR="005C2869" w:rsidRPr="00722F80" w:rsidRDefault="005C2869" w:rsidP="005C2869">
            <w:pPr>
              <w:jc w:val="right"/>
              <w:rPr>
                <w:rFonts w:asciiTheme="majorHAnsi" w:hAnsiTheme="majorHAnsi" w:cstheme="majorHAnsi"/>
                <w:b/>
                <w:i/>
                <w:szCs w:val="22"/>
                <w:lang w:val="en-GB"/>
              </w:rPr>
            </w:pPr>
            <w:r w:rsidRPr="00722F80">
              <w:rPr>
                <w:rFonts w:asciiTheme="majorHAnsi" w:hAnsiTheme="majorHAnsi" w:cstheme="majorHAnsi"/>
                <w:b/>
                <w:i/>
                <w:szCs w:val="22"/>
                <w:lang w:val="en-GB"/>
              </w:rPr>
              <w:t>VAT amount (25%)</w:t>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530DEE35" w14:textId="77777777" w:rsidR="005C2869" w:rsidRPr="00722F80" w:rsidRDefault="005C2869" w:rsidP="005C2869">
            <w:pPr>
              <w:rPr>
                <w:rFonts w:asciiTheme="majorHAnsi" w:hAnsiTheme="majorHAnsi" w:cstheme="majorHAnsi"/>
                <w:b/>
                <w:i/>
                <w:szCs w:val="22"/>
                <w:lang w:val="en-GB"/>
              </w:rPr>
            </w:pPr>
          </w:p>
        </w:tc>
      </w:tr>
      <w:tr w:rsidR="005C2869" w:rsidRPr="00722F80" w14:paraId="6C459D78" w14:textId="77777777" w:rsidTr="008318D0">
        <w:tc>
          <w:tcPr>
            <w:tcW w:w="7805" w:type="dxa"/>
            <w:gridSpan w:val="5"/>
            <w:tcBorders>
              <w:top w:val="single" w:sz="4" w:space="0" w:color="auto"/>
              <w:left w:val="single" w:sz="4" w:space="0" w:color="auto"/>
              <w:bottom w:val="single" w:sz="4" w:space="0" w:color="auto"/>
              <w:right w:val="single" w:sz="4" w:space="0" w:color="auto"/>
            </w:tcBorders>
            <w:shd w:val="clear" w:color="auto" w:fill="EEECE1"/>
          </w:tcPr>
          <w:p w14:paraId="6EE5B28B" w14:textId="0B9C5228" w:rsidR="005C2869" w:rsidRPr="00722F80" w:rsidRDefault="005C2869" w:rsidP="005C2869">
            <w:pPr>
              <w:jc w:val="right"/>
              <w:rPr>
                <w:rFonts w:asciiTheme="majorHAnsi" w:hAnsiTheme="majorHAnsi" w:cstheme="majorHAnsi"/>
                <w:b/>
                <w:i/>
                <w:szCs w:val="22"/>
                <w:lang w:val="en-GB"/>
              </w:rPr>
            </w:pPr>
            <w:r w:rsidRPr="00722F80">
              <w:rPr>
                <w:rFonts w:asciiTheme="majorHAnsi" w:hAnsiTheme="majorHAnsi" w:cstheme="majorHAnsi"/>
                <w:b/>
                <w:i/>
                <w:szCs w:val="22"/>
                <w:lang w:val="en-GB"/>
              </w:rPr>
              <w:t>Total price with VAT in USD</w:t>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7CFF6153" w14:textId="77777777" w:rsidR="005C2869" w:rsidRPr="00722F80" w:rsidRDefault="005C2869" w:rsidP="005C2869">
            <w:pPr>
              <w:rPr>
                <w:rFonts w:asciiTheme="majorHAnsi" w:hAnsiTheme="majorHAnsi" w:cstheme="majorHAnsi"/>
                <w:b/>
                <w:i/>
                <w:szCs w:val="22"/>
                <w:lang w:val="en-GB"/>
              </w:rPr>
            </w:pPr>
          </w:p>
        </w:tc>
      </w:tr>
    </w:tbl>
    <w:p w14:paraId="1F83A0F0" w14:textId="77777777" w:rsidR="002D562D" w:rsidRPr="00722F80" w:rsidRDefault="002D562D" w:rsidP="002D562D">
      <w:pPr>
        <w:rPr>
          <w:rFonts w:asciiTheme="majorHAnsi" w:hAnsiTheme="majorHAnsi" w:cstheme="majorHAnsi"/>
          <w:lang w:val="en-GB"/>
        </w:rPr>
      </w:pPr>
    </w:p>
    <w:p w14:paraId="014664E6" w14:textId="52AB579A" w:rsidR="002D562D" w:rsidRPr="00722F80" w:rsidRDefault="002D562D" w:rsidP="002D562D">
      <w:pPr>
        <w:shd w:val="clear" w:color="auto" w:fill="FFFFFF"/>
        <w:spacing w:line="509" w:lineRule="exact"/>
        <w:rPr>
          <w:rFonts w:asciiTheme="majorHAnsi" w:hAnsiTheme="majorHAnsi" w:cstheme="majorHAnsi"/>
          <w:color w:val="000000"/>
          <w:spacing w:val="-3"/>
          <w:lang w:val="en-GB"/>
        </w:rPr>
      </w:pPr>
      <w:r w:rsidRPr="00722F80">
        <w:rPr>
          <w:rFonts w:asciiTheme="majorHAnsi" w:hAnsiTheme="majorHAnsi" w:cstheme="majorHAnsi"/>
          <w:lang w:val="en-GB"/>
        </w:rPr>
        <w:t>In______, _______ 202</w:t>
      </w:r>
      <w:r w:rsidR="00115912" w:rsidRPr="00722F80">
        <w:rPr>
          <w:rFonts w:asciiTheme="majorHAnsi" w:hAnsiTheme="majorHAnsi" w:cstheme="majorHAnsi"/>
          <w:lang w:val="en-GB"/>
        </w:rPr>
        <w:t>3</w:t>
      </w:r>
      <w:r w:rsidR="009744E9" w:rsidRPr="00722F80">
        <w:rPr>
          <w:rFonts w:asciiTheme="majorHAnsi" w:hAnsiTheme="majorHAnsi" w:cstheme="majorHAnsi"/>
          <w:lang w:val="en-GB"/>
        </w:rPr>
        <w:t>.</w:t>
      </w:r>
    </w:p>
    <w:bookmarkEnd w:id="12"/>
    <w:p w14:paraId="04997B23" w14:textId="77777777" w:rsidR="002D562D" w:rsidRPr="00722F80" w:rsidRDefault="002D562D" w:rsidP="002D562D">
      <w:pPr>
        <w:shd w:val="clear" w:color="auto" w:fill="FFFFFF"/>
        <w:spacing w:before="120" w:after="120"/>
        <w:jc w:val="right"/>
        <w:rPr>
          <w:rFonts w:asciiTheme="majorHAnsi" w:hAnsiTheme="majorHAnsi" w:cstheme="majorHAnsi"/>
          <w:color w:val="000000"/>
          <w:spacing w:val="-3"/>
          <w:lang w:val="en-GB"/>
        </w:rPr>
      </w:pPr>
      <w:r w:rsidRPr="00722F80">
        <w:rPr>
          <w:rFonts w:asciiTheme="majorHAnsi" w:hAnsiTheme="majorHAnsi" w:cstheme="majorHAnsi"/>
          <w:color w:val="000000"/>
          <w:spacing w:val="-3"/>
          <w:lang w:val="en-GB"/>
        </w:rPr>
        <w:t>_________________________________________</w:t>
      </w:r>
    </w:p>
    <w:p w14:paraId="0F15AE4F" w14:textId="77777777" w:rsidR="002D562D" w:rsidRPr="00722F80" w:rsidRDefault="002D562D" w:rsidP="002D562D">
      <w:pPr>
        <w:shd w:val="clear" w:color="auto" w:fill="FFFFFF"/>
        <w:spacing w:before="120" w:after="120"/>
        <w:jc w:val="right"/>
        <w:rPr>
          <w:rFonts w:asciiTheme="majorHAnsi" w:hAnsiTheme="majorHAnsi" w:cstheme="majorHAnsi"/>
          <w:color w:val="000000"/>
          <w:spacing w:val="-3"/>
          <w:lang w:val="en-GB"/>
        </w:rPr>
      </w:pPr>
      <w:r w:rsidRPr="00722F80">
        <w:rPr>
          <w:rFonts w:asciiTheme="majorHAnsi" w:hAnsiTheme="majorHAnsi" w:cstheme="majorHAnsi"/>
          <w:color w:val="000000"/>
          <w:spacing w:val="-3"/>
          <w:lang w:val="en-GB"/>
        </w:rPr>
        <w:t>(Full name of the applicant or legal representative)</w:t>
      </w:r>
    </w:p>
    <w:p w14:paraId="4DCCBB56" w14:textId="77777777" w:rsidR="002D562D" w:rsidRPr="00722F80" w:rsidRDefault="002D562D" w:rsidP="002D562D">
      <w:pPr>
        <w:shd w:val="clear" w:color="auto" w:fill="FFFFFF"/>
        <w:spacing w:before="120" w:after="120"/>
        <w:ind w:left="2419" w:hanging="341"/>
        <w:jc w:val="right"/>
        <w:rPr>
          <w:rFonts w:asciiTheme="majorHAnsi" w:hAnsiTheme="majorHAnsi" w:cstheme="majorHAnsi"/>
          <w:color w:val="000000"/>
          <w:spacing w:val="-3"/>
          <w:lang w:val="en-GB"/>
        </w:rPr>
      </w:pPr>
    </w:p>
    <w:p w14:paraId="423BBA60" w14:textId="77777777" w:rsidR="002D562D" w:rsidRPr="00722F80" w:rsidRDefault="002D562D" w:rsidP="002D562D">
      <w:pPr>
        <w:shd w:val="clear" w:color="auto" w:fill="FFFFFF"/>
        <w:spacing w:before="120" w:after="120"/>
        <w:jc w:val="right"/>
        <w:rPr>
          <w:rFonts w:asciiTheme="majorHAnsi" w:hAnsiTheme="majorHAnsi" w:cstheme="majorHAnsi"/>
          <w:color w:val="000000"/>
          <w:spacing w:val="-3"/>
          <w:lang w:val="en-GB"/>
        </w:rPr>
      </w:pPr>
      <w:r w:rsidRPr="00722F80">
        <w:rPr>
          <w:rFonts w:asciiTheme="majorHAnsi" w:hAnsiTheme="majorHAnsi" w:cstheme="majorHAnsi"/>
          <w:color w:val="000000"/>
          <w:spacing w:val="-3"/>
          <w:lang w:val="en-GB"/>
        </w:rPr>
        <w:t>_________________________________________</w:t>
      </w:r>
    </w:p>
    <w:p w14:paraId="1A4CCD64" w14:textId="41599ACB" w:rsidR="00607F16" w:rsidRDefault="002D562D" w:rsidP="00115912">
      <w:pPr>
        <w:shd w:val="clear" w:color="auto" w:fill="FFFFFF"/>
        <w:spacing w:before="120" w:after="120"/>
        <w:jc w:val="right"/>
        <w:rPr>
          <w:rFonts w:asciiTheme="majorHAnsi" w:hAnsiTheme="majorHAnsi" w:cstheme="majorHAnsi"/>
          <w:color w:val="000000"/>
          <w:spacing w:val="-3"/>
          <w:lang w:val="en-GB"/>
        </w:rPr>
      </w:pPr>
      <w:r w:rsidRPr="00722F80">
        <w:rPr>
          <w:rFonts w:asciiTheme="majorHAnsi" w:hAnsiTheme="majorHAnsi" w:cstheme="majorHAnsi"/>
          <w:color w:val="000000"/>
          <w:spacing w:val="-3"/>
          <w:lang w:val="en-GB"/>
        </w:rPr>
        <w:t>(Signature of the applicant or legal representative)</w:t>
      </w:r>
      <w:bookmarkEnd w:id="11"/>
    </w:p>
    <w:p w14:paraId="537A6657" w14:textId="77777777" w:rsidR="007773F0" w:rsidRDefault="007773F0" w:rsidP="00115912">
      <w:pPr>
        <w:shd w:val="clear" w:color="auto" w:fill="FFFFFF"/>
        <w:spacing w:before="120" w:after="120"/>
        <w:jc w:val="right"/>
        <w:rPr>
          <w:rFonts w:asciiTheme="majorHAnsi" w:hAnsiTheme="majorHAnsi" w:cstheme="majorHAnsi"/>
          <w:color w:val="000000"/>
          <w:spacing w:val="-3"/>
          <w:lang w:val="en-GB"/>
        </w:rPr>
      </w:pPr>
    </w:p>
    <w:p w14:paraId="4FFB18ED" w14:textId="77777777" w:rsidR="007773F0" w:rsidRDefault="007773F0" w:rsidP="00115912">
      <w:pPr>
        <w:shd w:val="clear" w:color="auto" w:fill="FFFFFF"/>
        <w:spacing w:before="120" w:after="120"/>
        <w:jc w:val="right"/>
        <w:rPr>
          <w:rFonts w:asciiTheme="majorHAnsi" w:hAnsiTheme="majorHAnsi" w:cstheme="majorHAnsi"/>
          <w:color w:val="000000"/>
          <w:spacing w:val="-3"/>
          <w:lang w:val="en-GB"/>
        </w:rPr>
      </w:pPr>
    </w:p>
    <w:p w14:paraId="40E6CD68" w14:textId="77777777" w:rsidR="007773F0" w:rsidRDefault="007773F0" w:rsidP="00115912">
      <w:pPr>
        <w:shd w:val="clear" w:color="auto" w:fill="FFFFFF"/>
        <w:spacing w:before="120" w:after="120"/>
        <w:jc w:val="right"/>
        <w:rPr>
          <w:rFonts w:asciiTheme="majorHAnsi" w:hAnsiTheme="majorHAnsi" w:cstheme="majorHAnsi"/>
          <w:color w:val="000000"/>
          <w:spacing w:val="-3"/>
          <w:lang w:val="en-GB"/>
        </w:rPr>
      </w:pPr>
    </w:p>
    <w:p w14:paraId="7C93D5A2" w14:textId="4E77B0BF" w:rsidR="007773F0" w:rsidRDefault="007773F0">
      <w:pPr>
        <w:rPr>
          <w:rFonts w:asciiTheme="majorHAnsi" w:hAnsiTheme="majorHAnsi" w:cstheme="majorHAnsi"/>
          <w:color w:val="000000"/>
          <w:spacing w:val="-3"/>
          <w:lang w:val="en-GB"/>
        </w:rPr>
      </w:pPr>
      <w:r>
        <w:rPr>
          <w:rFonts w:asciiTheme="majorHAnsi" w:hAnsiTheme="majorHAnsi" w:cstheme="majorHAnsi"/>
          <w:color w:val="000000"/>
          <w:spacing w:val="-3"/>
          <w:lang w:val="en-GB"/>
        </w:rPr>
        <w:br w:type="page"/>
      </w:r>
    </w:p>
    <w:p w14:paraId="6936B10D" w14:textId="31900B23" w:rsidR="007773F0" w:rsidRPr="00AE1B49" w:rsidRDefault="007773F0" w:rsidP="007773F0">
      <w:pPr>
        <w:pStyle w:val="Heading1"/>
        <w:rPr>
          <w:rFonts w:asciiTheme="majorHAnsi" w:hAnsiTheme="majorHAnsi" w:cstheme="majorHAnsi"/>
          <w:lang w:val="en-GB"/>
        </w:rPr>
      </w:pPr>
      <w:r w:rsidRPr="00AE1B49">
        <w:rPr>
          <w:rFonts w:asciiTheme="majorHAnsi" w:hAnsiTheme="majorHAnsi" w:cstheme="majorHAnsi"/>
          <w:lang w:val="en-GB"/>
        </w:rPr>
        <w:lastRenderedPageBreak/>
        <w:t>Annex 4</w:t>
      </w:r>
    </w:p>
    <w:p w14:paraId="5A4D2FD3" w14:textId="77777777" w:rsidR="00AE1B49" w:rsidRPr="00AE1B49" w:rsidRDefault="00AE1B49" w:rsidP="00AE1B49">
      <w:pPr>
        <w:rPr>
          <w:rFonts w:asciiTheme="majorHAnsi" w:hAnsiTheme="majorHAnsi" w:cstheme="majorHAnsi"/>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 xml:space="preserve">Title option: </w:t>
      </w:r>
      <w:r w:rsidRPr="00AE1B49">
        <w:rPr>
          <w:rFonts w:asciiTheme="majorHAnsi" w:hAnsiTheme="majorHAnsi" w:cstheme="majorHAnsi"/>
          <w:color w:val="2E2E38"/>
          <w:sz w:val="22"/>
          <w:szCs w:val="22"/>
          <w:shd w:val="clear" w:color="auto" w:fill="FFFFFF"/>
          <w:lang w:val="en-GB"/>
        </w:rPr>
        <w:t>Rising seas - rising risks for investors along the coast. What should banks and other investors in real estate on the coast know?</w:t>
      </w:r>
    </w:p>
    <w:p w14:paraId="126AAB45" w14:textId="77777777" w:rsidR="00AE1B49" w:rsidRPr="00AE1B49" w:rsidRDefault="00AE1B49" w:rsidP="00AE1B49">
      <w:pPr>
        <w:rPr>
          <w:rFonts w:asciiTheme="majorHAnsi" w:hAnsiTheme="majorHAnsi" w:cstheme="majorHAnsi"/>
          <w:b/>
          <w:bCs/>
          <w:color w:val="2E2E38"/>
          <w:sz w:val="22"/>
          <w:szCs w:val="22"/>
          <w:shd w:val="clear" w:color="auto" w:fill="FFFFFF"/>
          <w:lang w:val="en-GB"/>
        </w:rPr>
      </w:pPr>
    </w:p>
    <w:p w14:paraId="5E309B13" w14:textId="59119414" w:rsidR="00AE1B49" w:rsidRPr="00AE1B49" w:rsidRDefault="00AE1B49" w:rsidP="00AE1B49">
      <w:pPr>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 xml:space="preserve">Objectives of the publication: </w:t>
      </w:r>
    </w:p>
    <w:p w14:paraId="09BA178D" w14:textId="77777777" w:rsidR="00AE1B49" w:rsidRPr="00AE1B49" w:rsidRDefault="00AE1B49" w:rsidP="00AE1B49">
      <w:pPr>
        <w:pStyle w:val="ListParagraph"/>
        <w:numPr>
          <w:ilvl w:val="0"/>
          <w:numId w:val="41"/>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To raise awareness of the risks related to the developments in coastal zones;</w:t>
      </w:r>
    </w:p>
    <w:p w14:paraId="43262210" w14:textId="77777777" w:rsidR="00AE1B49" w:rsidRPr="00AE1B49" w:rsidRDefault="00AE1B49" w:rsidP="00AE1B49">
      <w:pPr>
        <w:pStyle w:val="ListParagraph"/>
        <w:numPr>
          <w:ilvl w:val="0"/>
          <w:numId w:val="41"/>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To influence future bank and other investor decisions related to development in low-elevation coastal zones (LECZ) of the Mediterranean to cease support for developments in the LECZ and in the coastal setback zone;</w:t>
      </w:r>
    </w:p>
    <w:p w14:paraId="28F58F3D" w14:textId="77777777" w:rsidR="00AE1B49" w:rsidRPr="00AE1B49" w:rsidRDefault="00AE1B49" w:rsidP="00AE1B49">
      <w:pPr>
        <w:pStyle w:val="ListParagraph"/>
        <w:numPr>
          <w:ilvl w:val="0"/>
          <w:numId w:val="41"/>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to invite the banking sector to include ICZM Protocol principles in the propositions for coastal  development projects so to support adaptation and mitigation and to ensure avoiding maladaptation;</w:t>
      </w:r>
    </w:p>
    <w:p w14:paraId="6F84DF50" w14:textId="77777777" w:rsidR="00AE1B49" w:rsidRPr="00AE1B49" w:rsidRDefault="00AE1B49" w:rsidP="00AE1B49">
      <w:pPr>
        <w:pStyle w:val="ListParagraph"/>
        <w:numPr>
          <w:ilvl w:val="0"/>
          <w:numId w:val="41"/>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 xml:space="preserve">To inform the banking sector about the ICZM Protocol for the Mediterranean and relevant PAP/RAC publications. </w:t>
      </w:r>
    </w:p>
    <w:p w14:paraId="5777FD31" w14:textId="77777777" w:rsidR="00AE1B49" w:rsidRPr="00AE1B49" w:rsidRDefault="00AE1B49" w:rsidP="00AE1B49">
      <w:pPr>
        <w:rPr>
          <w:rFonts w:asciiTheme="majorHAnsi" w:hAnsiTheme="majorHAnsi" w:cstheme="majorHAnsi"/>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 xml:space="preserve">Language of the publication: </w:t>
      </w:r>
      <w:r w:rsidRPr="00AE1B49">
        <w:rPr>
          <w:rFonts w:asciiTheme="majorHAnsi" w:hAnsiTheme="majorHAnsi" w:cstheme="majorHAnsi"/>
          <w:color w:val="2E2E38"/>
          <w:sz w:val="22"/>
          <w:szCs w:val="22"/>
          <w:shd w:val="clear" w:color="auto" w:fill="FFFFFF"/>
          <w:lang w:val="en-GB"/>
        </w:rPr>
        <w:t xml:space="preserve">The target audience for this publication is the banking sector and private investors in the Mediterranean countries (particularly targeting the south and east of the Mediterranean basin). The writing style needs to be clear and straightforward. Avoid unnecessary complex terminology. Be precise to avoid unnecessary ambiguity. Supplement the text with charts, graphs, tables and images to illustrate key points. </w:t>
      </w:r>
    </w:p>
    <w:p w14:paraId="29A80369" w14:textId="77777777" w:rsidR="00AE1B49" w:rsidRPr="00AE1B49" w:rsidRDefault="00AE1B49" w:rsidP="00AE1B49">
      <w:pPr>
        <w:rPr>
          <w:rFonts w:asciiTheme="majorHAnsi" w:hAnsiTheme="majorHAnsi" w:cstheme="majorHAnsi"/>
          <w:b/>
          <w:bCs/>
          <w:color w:val="2E2E38"/>
          <w:sz w:val="22"/>
          <w:szCs w:val="22"/>
          <w:shd w:val="clear" w:color="auto" w:fill="FFFFFF"/>
          <w:lang w:val="en-GB"/>
        </w:rPr>
      </w:pPr>
    </w:p>
    <w:p w14:paraId="313927D4" w14:textId="21392E0A" w:rsidR="00AE1B49" w:rsidRPr="00AE1B49" w:rsidRDefault="00AE1B49" w:rsidP="00AE1B49">
      <w:pPr>
        <w:rPr>
          <w:rFonts w:asciiTheme="majorHAnsi" w:hAnsiTheme="majorHAnsi" w:cstheme="majorHAnsi"/>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 xml:space="preserve">Executive summary/ Summary for investors: </w:t>
      </w:r>
      <w:r w:rsidRPr="00AE1B49">
        <w:rPr>
          <w:rFonts w:asciiTheme="majorHAnsi" w:hAnsiTheme="majorHAnsi" w:cstheme="majorHAnsi"/>
          <w:color w:val="2E2E38"/>
          <w:sz w:val="22"/>
          <w:szCs w:val="22"/>
          <w:shd w:val="clear" w:color="auto" w:fill="FFFFFF"/>
          <w:lang w:val="en-GB"/>
        </w:rPr>
        <w:t xml:space="preserve">Include an executive summary at the beginning of the publication. Summary versions for several target groups (Policy briefs) are to be prepared separately, in a maximum length of 8 pages (illustrations included), aimed to be displayed, printed and disseminated individually, summarising and referring to/announcing the publication The target groups may be defined as risk managers in the banks, banking policymakers, private investors in the real estate along the coast, mayors and local planning departments, etc.  </w:t>
      </w:r>
    </w:p>
    <w:p w14:paraId="2C336F7C" w14:textId="77777777" w:rsidR="00AE1B49" w:rsidRPr="00AE1B49" w:rsidRDefault="00AE1B49" w:rsidP="00AE1B49">
      <w:pPr>
        <w:autoSpaceDE w:val="0"/>
        <w:autoSpaceDN w:val="0"/>
        <w:adjustRightInd w:val="0"/>
        <w:rPr>
          <w:rFonts w:asciiTheme="majorHAnsi" w:hAnsiTheme="majorHAnsi" w:cstheme="majorHAnsi"/>
          <w:b/>
          <w:bCs/>
          <w:color w:val="2E2E38"/>
          <w:sz w:val="22"/>
          <w:szCs w:val="22"/>
          <w:shd w:val="clear" w:color="auto" w:fill="FFFFFF"/>
          <w:lang w:val="en-GB"/>
        </w:rPr>
      </w:pPr>
    </w:p>
    <w:p w14:paraId="78B9C07C" w14:textId="2D979B74" w:rsidR="00AE1B49" w:rsidRPr="00AE1B49" w:rsidRDefault="00AE1B49" w:rsidP="00AE1B49">
      <w:pPr>
        <w:autoSpaceDE w:val="0"/>
        <w:autoSpaceDN w:val="0"/>
        <w:adjustRightInd w:val="0"/>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The proposal of the annotated outline:</w:t>
      </w:r>
    </w:p>
    <w:p w14:paraId="091A5866" w14:textId="77777777" w:rsidR="00AE1B49" w:rsidRPr="00AE1B49" w:rsidRDefault="00AE1B49" w:rsidP="00AE1B49">
      <w:pPr>
        <w:autoSpaceDE w:val="0"/>
        <w:autoSpaceDN w:val="0"/>
        <w:adjustRightInd w:val="0"/>
        <w:rPr>
          <w:rFonts w:asciiTheme="majorHAnsi" w:hAnsiTheme="majorHAnsi" w:cstheme="majorHAnsi"/>
          <w:b/>
          <w:bCs/>
          <w:color w:val="2E2E38"/>
          <w:sz w:val="22"/>
          <w:szCs w:val="22"/>
          <w:shd w:val="clear" w:color="auto" w:fill="FFFFFF"/>
          <w:lang w:val="en-GB"/>
        </w:rPr>
      </w:pPr>
    </w:p>
    <w:p w14:paraId="52BE0490" w14:textId="77777777" w:rsidR="00AE1B49" w:rsidRPr="00AE1B49" w:rsidRDefault="00AE1B49" w:rsidP="00AE1B49">
      <w:pPr>
        <w:pStyle w:val="ListParagraph"/>
        <w:numPr>
          <w:ilvl w:val="0"/>
          <w:numId w:val="42"/>
        </w:numPr>
        <w:spacing w:after="160" w:line="259" w:lineRule="auto"/>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 xml:space="preserve">Introduction: </w:t>
      </w:r>
    </w:p>
    <w:p w14:paraId="5EC1FB67"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State the purpose of the publication</w:t>
      </w:r>
    </w:p>
    <w:p w14:paraId="52D67842"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Introduce the increasing challenges of the changing climate (the latest extreme events and rising seas in particular) and the risks associated with the LECZ</w:t>
      </w:r>
    </w:p>
    <w:p w14:paraId="08D04DA7"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Briefly introduce the state of the coastal build-up along Mediterranean shores, emphasising the LECZ and the setback zone along the sea (100m)</w:t>
      </w:r>
    </w:p>
    <w:p w14:paraId="3A3FB2B2"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Briefly introduce the size of the real estate markets along Mediterranean shores and its current state</w:t>
      </w:r>
    </w:p>
    <w:p w14:paraId="38B724E4"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Briefly introduce the significance of the issue, emphasising the importance of sound risk management</w:t>
      </w:r>
    </w:p>
    <w:p w14:paraId="650F0A94" w14:textId="77777777" w:rsidR="00AE1B49" w:rsidRPr="00AE1B49" w:rsidRDefault="00AE1B49" w:rsidP="00AE1B49">
      <w:pPr>
        <w:pStyle w:val="ListParagraph"/>
        <w:rPr>
          <w:rFonts w:asciiTheme="majorHAnsi" w:hAnsiTheme="majorHAnsi" w:cstheme="majorHAnsi"/>
          <w:color w:val="2E2E38"/>
          <w:sz w:val="22"/>
          <w:szCs w:val="22"/>
          <w:shd w:val="clear" w:color="auto" w:fill="FFFFFF"/>
          <w:lang w:val="en-GB"/>
        </w:rPr>
      </w:pPr>
    </w:p>
    <w:p w14:paraId="0D15C21C" w14:textId="77777777" w:rsidR="00AE1B49" w:rsidRPr="00AE1B49" w:rsidRDefault="00AE1B49" w:rsidP="00AE1B49">
      <w:pPr>
        <w:pStyle w:val="ListParagraph"/>
        <w:numPr>
          <w:ilvl w:val="0"/>
          <w:numId w:val="39"/>
        </w:numPr>
        <w:spacing w:after="160" w:line="259" w:lineRule="auto"/>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Rising seas and stormy waves</w:t>
      </w:r>
    </w:p>
    <w:p w14:paraId="16C466B2"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 xml:space="preserve">Global: Changing climate – latest data: CO2 emissions, temperature, extreme events; actual global emission plans compared with the Paris agreement; projections for different scenarios based on AR6, current events: pandemics, wars, increase in the defence budget around the world, discouraging collaboration, de-prioritising climate action and pushing the world towards a scenario of a fragmented, divided world unable to reach common goals – consequences for the SLR </w:t>
      </w:r>
    </w:p>
    <w:p w14:paraId="07A468D3"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lastRenderedPageBreak/>
        <w:t>Mediterranean - climate hot-spot, based on MedECC MAR1 report</w:t>
      </w:r>
    </w:p>
    <w:p w14:paraId="495615EF"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Major climate change impacts on the coastal zones: extreme events, compound flooding, increase in summer temperatures and droughts, sea level rise, not only as a threat but also as a threat multiplier</w:t>
      </w:r>
      <w:r w:rsidRPr="00AE1B49">
        <w:rPr>
          <w:rStyle w:val="FootnoteReference"/>
          <w:rFonts w:asciiTheme="majorHAnsi" w:hAnsiTheme="majorHAnsi" w:cstheme="majorHAnsi"/>
          <w:color w:val="2E2E38"/>
          <w:sz w:val="22"/>
          <w:szCs w:val="22"/>
          <w:shd w:val="clear" w:color="auto" w:fill="FFFFFF"/>
          <w:lang w:val="en-GB"/>
        </w:rPr>
        <w:footnoteReference w:id="6"/>
      </w:r>
      <w:r w:rsidRPr="00AE1B49">
        <w:rPr>
          <w:rFonts w:asciiTheme="majorHAnsi" w:hAnsiTheme="majorHAnsi" w:cstheme="majorHAnsi"/>
          <w:color w:val="2E2E38"/>
          <w:sz w:val="22"/>
          <w:szCs w:val="22"/>
          <w:shd w:val="clear" w:color="auto" w:fill="FFFFFF"/>
          <w:lang w:val="en-GB"/>
        </w:rPr>
        <w:t xml:space="preserve">, coastal erosion </w:t>
      </w:r>
    </w:p>
    <w:p w14:paraId="06943CE8"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 xml:space="preserve">Increase in summer temperature will make the Mediterranean coastal region less interesting as a tourist destination in the peak summer, while the season may expand. This may result in a situation in which we won’t need such large capacities since the season will be different and longer. </w:t>
      </w:r>
    </w:p>
    <w:p w14:paraId="7FF143E7"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Provide a ground for developing adaptation pathways – how to identify the tipping points (30, 50, 80, 100 years horizons). Use AR6 scenarios and the SROCC projections</w:t>
      </w:r>
    </w:p>
    <w:p w14:paraId="65C6FAE3" w14:textId="77777777" w:rsidR="00AE1B49" w:rsidRPr="00AE1B49" w:rsidRDefault="00AE1B49" w:rsidP="00AE1B49">
      <w:pPr>
        <w:pStyle w:val="ListParagraph"/>
        <w:rPr>
          <w:rFonts w:asciiTheme="majorHAnsi" w:hAnsiTheme="majorHAnsi" w:cstheme="majorHAnsi"/>
          <w:color w:val="2E2E38"/>
          <w:sz w:val="22"/>
          <w:szCs w:val="22"/>
          <w:shd w:val="clear" w:color="auto" w:fill="FFFFFF"/>
          <w:lang w:val="en-GB"/>
        </w:rPr>
      </w:pPr>
    </w:p>
    <w:p w14:paraId="1D93CDFA" w14:textId="77777777" w:rsidR="00AE1B49" w:rsidRPr="00AE1B49" w:rsidRDefault="00AE1B49" w:rsidP="00AE1B49">
      <w:pPr>
        <w:pStyle w:val="ListParagraph"/>
        <w:numPr>
          <w:ilvl w:val="0"/>
          <w:numId w:val="39"/>
        </w:numPr>
        <w:spacing w:after="160" w:line="259" w:lineRule="auto"/>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Current state of the coastal urbanisation along the Mediterranean shores</w:t>
      </w:r>
    </w:p>
    <w:p w14:paraId="4A51BECB" w14:textId="77777777" w:rsidR="00AE1B49" w:rsidRPr="00AE1B49" w:rsidRDefault="00AE1B49" w:rsidP="00AE1B49">
      <w:pPr>
        <w:pStyle w:val="Default"/>
        <w:numPr>
          <w:ilvl w:val="0"/>
          <w:numId w:val="40"/>
        </w:numPr>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Provide an overview of the current state of the coastal urbanisation along the Mediterranean shores, including:</w:t>
      </w:r>
    </w:p>
    <w:p w14:paraId="3D115CD2" w14:textId="77777777" w:rsidR="00AE1B49" w:rsidRPr="00AE1B49" w:rsidRDefault="00AE1B49" w:rsidP="00AE1B49">
      <w:pPr>
        <w:pStyle w:val="Default"/>
        <w:numPr>
          <w:ilvl w:val="1"/>
          <w:numId w:val="40"/>
        </w:numPr>
        <w:ind w:left="1080"/>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 xml:space="preserve"> natural (geographical, climate, oceanographic, etc. features – in particular, the fact of the small tides which influenced locating vacancies too close to the sea) </w:t>
      </w:r>
    </w:p>
    <w:p w14:paraId="5E22AD6B" w14:textId="77777777" w:rsidR="00AE1B49" w:rsidRPr="00AE1B49" w:rsidRDefault="00AE1B49" w:rsidP="00AE1B49">
      <w:pPr>
        <w:pStyle w:val="Default"/>
        <w:numPr>
          <w:ilvl w:val="2"/>
          <w:numId w:val="39"/>
        </w:numPr>
        <w:ind w:left="1200"/>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socio-economic features (drivers, pressures, impacts). Drivers (paying particular attention to LECZ) Littoralisation: past, present, and future trends (coastal tourism, real estate developments and its trade)</w:t>
      </w:r>
    </w:p>
    <w:p w14:paraId="7363C67F" w14:textId="77777777" w:rsidR="00AE1B49" w:rsidRPr="00AE1B49" w:rsidRDefault="00AE1B49" w:rsidP="00AE1B49">
      <w:pPr>
        <w:pStyle w:val="ListParagraph"/>
        <w:numPr>
          <w:ilvl w:val="2"/>
          <w:numId w:val="39"/>
        </w:numPr>
        <w:spacing w:after="160" w:line="259" w:lineRule="auto"/>
        <w:ind w:left="1200"/>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emphasise the sea as the major attraction for coastal tourism, including locating tourism facilities as close to the sea as possible. Refer to PAP/RAC publication on coastal zones.</w:t>
      </w:r>
      <w:r w:rsidRPr="00AE1B49">
        <w:rPr>
          <w:rStyle w:val="FootnoteReference"/>
          <w:rFonts w:asciiTheme="majorHAnsi" w:hAnsiTheme="majorHAnsi" w:cstheme="majorHAnsi"/>
          <w:color w:val="2E2E38"/>
          <w:sz w:val="22"/>
          <w:szCs w:val="22"/>
          <w:shd w:val="clear" w:color="auto" w:fill="FFFFFF"/>
          <w:lang w:val="en-GB"/>
        </w:rPr>
        <w:footnoteReference w:id="7"/>
      </w:r>
    </w:p>
    <w:p w14:paraId="55C2F42A" w14:textId="77777777" w:rsidR="00AE1B49" w:rsidRPr="00AE1B49" w:rsidRDefault="00AE1B49" w:rsidP="00AE1B49">
      <w:pPr>
        <w:pStyle w:val="ListParagraph"/>
        <w:numPr>
          <w:ilvl w:val="2"/>
          <w:numId w:val="39"/>
        </w:numPr>
        <w:spacing w:line="259" w:lineRule="auto"/>
        <w:ind w:left="1276" w:hanging="425"/>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Touch upon other coastal infrastructure developments (roads, airports, water &amp; wastewater, energy networks) and others if significant</w:t>
      </w:r>
    </w:p>
    <w:p w14:paraId="331DDD2E" w14:textId="77777777" w:rsidR="00AE1B49" w:rsidRPr="00AE1B49" w:rsidRDefault="00AE1B49" w:rsidP="00AE1B49">
      <w:pPr>
        <w:pStyle w:val="Default"/>
        <w:numPr>
          <w:ilvl w:val="0"/>
          <w:numId w:val="40"/>
        </w:numPr>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Refer to the PAP/RAC publications related to built-up</w:t>
      </w:r>
      <w:r w:rsidRPr="00AE1B49">
        <w:rPr>
          <w:rStyle w:val="FootnoteReference"/>
          <w:rFonts w:asciiTheme="majorHAnsi" w:hAnsiTheme="majorHAnsi" w:cstheme="majorHAnsi"/>
          <w:color w:val="2E2E38"/>
          <w:sz w:val="22"/>
          <w:szCs w:val="22"/>
          <w:shd w:val="clear" w:color="auto" w:fill="FFFFFF"/>
          <w:lang w:val="en-GB"/>
        </w:rPr>
        <w:footnoteReference w:id="8"/>
      </w:r>
      <w:r w:rsidRPr="00AE1B49">
        <w:rPr>
          <w:rFonts w:asciiTheme="majorHAnsi" w:hAnsiTheme="majorHAnsi" w:cstheme="majorHAnsi"/>
          <w:color w:val="2E2E38"/>
          <w:sz w:val="22"/>
          <w:szCs w:val="22"/>
          <w:shd w:val="clear" w:color="auto" w:fill="FFFFFF"/>
          <w:lang w:val="en-GB"/>
        </w:rPr>
        <w:t xml:space="preserve"> and land cover change</w:t>
      </w:r>
      <w:r w:rsidRPr="00AE1B49">
        <w:rPr>
          <w:rStyle w:val="FootnoteReference"/>
          <w:rFonts w:asciiTheme="majorHAnsi" w:hAnsiTheme="majorHAnsi" w:cstheme="majorHAnsi"/>
          <w:color w:val="2E2E38"/>
          <w:sz w:val="22"/>
          <w:szCs w:val="22"/>
          <w:shd w:val="clear" w:color="auto" w:fill="FFFFFF"/>
          <w:lang w:val="en-GB"/>
        </w:rPr>
        <w:footnoteReference w:id="9"/>
      </w:r>
      <w:r w:rsidRPr="00AE1B49">
        <w:rPr>
          <w:rFonts w:asciiTheme="majorHAnsi" w:hAnsiTheme="majorHAnsi" w:cstheme="majorHAnsi"/>
          <w:color w:val="2E2E38"/>
          <w:sz w:val="22"/>
          <w:szCs w:val="22"/>
          <w:shd w:val="clear" w:color="auto" w:fill="FFFFFF"/>
          <w:vertAlign w:val="superscript"/>
          <w:lang w:val="en-GB"/>
        </w:rPr>
        <w:t>,</w:t>
      </w:r>
      <w:r w:rsidRPr="00AE1B49">
        <w:rPr>
          <w:rStyle w:val="FootnoteReference"/>
          <w:rFonts w:asciiTheme="majorHAnsi" w:hAnsiTheme="majorHAnsi" w:cstheme="majorHAnsi"/>
          <w:color w:val="2E2E38"/>
          <w:sz w:val="22"/>
          <w:szCs w:val="22"/>
          <w:shd w:val="clear" w:color="auto" w:fill="FFFFFF"/>
          <w:lang w:val="en-GB"/>
        </w:rPr>
        <w:footnoteReference w:id="10"/>
      </w:r>
      <w:r w:rsidRPr="00AE1B49">
        <w:rPr>
          <w:rFonts w:asciiTheme="majorHAnsi" w:hAnsiTheme="majorHAnsi" w:cstheme="majorHAnsi"/>
          <w:color w:val="2E2E38"/>
          <w:sz w:val="22"/>
          <w:szCs w:val="22"/>
          <w:shd w:val="clear" w:color="auto" w:fill="FFFFFF"/>
          <w:lang w:val="en-GB"/>
        </w:rPr>
        <w:t>. If possible, compare with the latest publicly available satellite data and indicate the size of the coastal urbanisation in the LECZ</w:t>
      </w:r>
    </w:p>
    <w:p w14:paraId="1BBAF319" w14:textId="77777777" w:rsidR="00AE1B49" w:rsidRPr="00AE1B49" w:rsidRDefault="00AE1B49" w:rsidP="00AE1B49">
      <w:pPr>
        <w:ind w:left="357"/>
        <w:rPr>
          <w:rFonts w:asciiTheme="majorHAnsi" w:hAnsiTheme="majorHAnsi" w:cstheme="majorHAnsi"/>
          <w:color w:val="2E2E38"/>
          <w:sz w:val="22"/>
          <w:szCs w:val="22"/>
          <w:shd w:val="clear" w:color="auto" w:fill="FFFFFF"/>
          <w:lang w:val="en-GB"/>
        </w:rPr>
      </w:pPr>
    </w:p>
    <w:p w14:paraId="6E0CC133" w14:textId="77777777" w:rsidR="00AE1B49" w:rsidRPr="00AE1B49" w:rsidRDefault="00AE1B49" w:rsidP="00AE1B49">
      <w:pPr>
        <w:pStyle w:val="ListParagraph"/>
        <w:numPr>
          <w:ilvl w:val="0"/>
          <w:numId w:val="39"/>
        </w:numPr>
        <w:spacing w:after="160" w:line="259" w:lineRule="auto"/>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Case studies</w:t>
      </w:r>
    </w:p>
    <w:p w14:paraId="7A5CA76D"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Provide a few examples of coastal flooding or erosion in the Mediterranean with calculated losses (alternatively, use some other comparable cases, e.g. Xyinthia, Soulac-sur-Mer, Fairbourne, Maui Condo Kahana Sunset, Hemsby, Eastbourne UK, Abidjan, etc.)</w:t>
      </w:r>
    </w:p>
    <w:p w14:paraId="4F900200"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Analyse the financial and reputational impact on subjects and institutions involved</w:t>
      </w:r>
    </w:p>
    <w:p w14:paraId="62A98826" w14:textId="77777777" w:rsidR="00AE1B49" w:rsidRPr="00AE1B49" w:rsidRDefault="00AE1B49" w:rsidP="00AE1B49">
      <w:pPr>
        <w:pStyle w:val="ListParagraph"/>
        <w:numPr>
          <w:ilvl w:val="1"/>
          <w:numId w:val="39"/>
        </w:numPr>
        <w:spacing w:line="259" w:lineRule="auto"/>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Provide examples of the use of coastal vulnerability assessments considered by the banking and insurance sector</w:t>
      </w:r>
    </w:p>
    <w:p w14:paraId="1CD904F4" w14:textId="77777777" w:rsidR="00AE1B49" w:rsidRPr="00AE1B49" w:rsidRDefault="00AE1B49" w:rsidP="00AE1B49">
      <w:pPr>
        <w:pStyle w:val="ListParagraph"/>
        <w:numPr>
          <w:ilvl w:val="1"/>
          <w:numId w:val="39"/>
        </w:numPr>
        <w:spacing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Managed retreat – cases, forecasts – risks for investors</w:t>
      </w:r>
    </w:p>
    <w:p w14:paraId="4C9FD4BD" w14:textId="77777777" w:rsidR="00AE1B49" w:rsidRPr="00AE1B49" w:rsidRDefault="00AE1B49" w:rsidP="00AE1B49">
      <w:pPr>
        <w:pStyle w:val="ListParagraph"/>
        <w:ind w:left="714"/>
        <w:rPr>
          <w:rFonts w:asciiTheme="majorHAnsi" w:hAnsiTheme="majorHAnsi" w:cstheme="majorHAnsi"/>
          <w:b/>
          <w:bCs/>
          <w:color w:val="2E2E38"/>
          <w:sz w:val="22"/>
          <w:szCs w:val="22"/>
          <w:shd w:val="clear" w:color="auto" w:fill="FFFFFF"/>
          <w:lang w:val="en-GB"/>
        </w:rPr>
      </w:pPr>
    </w:p>
    <w:p w14:paraId="2AB1372B" w14:textId="77777777" w:rsidR="00AE1B49" w:rsidRPr="00AE1B49" w:rsidRDefault="00AE1B49" w:rsidP="00AE1B49">
      <w:pPr>
        <w:pStyle w:val="ListParagraph"/>
        <w:numPr>
          <w:ilvl w:val="0"/>
          <w:numId w:val="39"/>
        </w:numPr>
        <w:spacing w:after="160" w:line="259" w:lineRule="auto"/>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Economic and social impacts</w:t>
      </w:r>
    </w:p>
    <w:p w14:paraId="6B9E44A9"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Introducing expected costs and damages (Peseta IV and UNDP Human Climate Horizons, etc.) including the idea of risk aversion</w:t>
      </w:r>
    </w:p>
    <w:p w14:paraId="31BCF1A5"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Examples of cost-benefit analysis of developments in the LECZ</w:t>
      </w:r>
    </w:p>
    <w:p w14:paraId="388F104C"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lastRenderedPageBreak/>
        <w:t>Highlight the financial risks for banks and investors associated with potential damage, insurance costs, and long-term sustainability of such projects (direct and indirect negative impact on banks, including an increase in stranded assets/mortgages, uncertain residual values, depreciation, potential loss of reputation, effects on taxonomy, etc.)</w:t>
      </w:r>
    </w:p>
    <w:p w14:paraId="637106C7"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Consequences of using short-term horizons and optimistic scenarios - the need to take into consideration worse-case scenarios when developing coastal adaptation responses and to avoid maladaptation</w:t>
      </w:r>
    </w:p>
    <w:p w14:paraId="021DF1F7" w14:textId="77777777" w:rsidR="00AE1B49" w:rsidRPr="00AE1B49" w:rsidRDefault="00AE1B49" w:rsidP="00AE1B49">
      <w:pPr>
        <w:pStyle w:val="ListParagraph"/>
        <w:ind w:left="360"/>
        <w:rPr>
          <w:rFonts w:asciiTheme="majorHAnsi" w:hAnsiTheme="majorHAnsi" w:cstheme="majorHAnsi"/>
          <w:color w:val="2E2E38"/>
          <w:sz w:val="22"/>
          <w:szCs w:val="22"/>
          <w:shd w:val="clear" w:color="auto" w:fill="FFFFFF"/>
          <w:lang w:val="en-GB"/>
        </w:rPr>
      </w:pPr>
    </w:p>
    <w:p w14:paraId="51D832E6" w14:textId="77777777" w:rsidR="00AE1B49" w:rsidRPr="00AE1B49" w:rsidRDefault="00AE1B49" w:rsidP="00AE1B49">
      <w:pPr>
        <w:pStyle w:val="ListParagraph"/>
        <w:numPr>
          <w:ilvl w:val="0"/>
          <w:numId w:val="39"/>
        </w:numPr>
        <w:spacing w:after="160" w:line="259" w:lineRule="auto"/>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Legal and regulatory landscape</w:t>
      </w:r>
    </w:p>
    <w:p w14:paraId="6E2574CD"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Summarize existing and evolving regulations related to coastal developments</w:t>
      </w:r>
    </w:p>
    <w:p w14:paraId="2DFEC5C0"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Potential legal liabilities for investors and banks in risky projects (Algarobicco, Andalusia, Menorca, etc.)</w:t>
      </w:r>
    </w:p>
    <w:p w14:paraId="21F5122C"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Defining time horizons (identifying time scale and using adaptation pathways)</w:t>
      </w:r>
    </w:p>
    <w:p w14:paraId="51C6D708"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Examples of regulatory solutions in the cases of Fairbourne, Xyinthia, etc.</w:t>
      </w:r>
    </w:p>
    <w:p w14:paraId="54343ED3"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Examples of announced changes of legislation in maritime public domain delineation practices due to climate change (France, Spain, New Zealand, etc.)</w:t>
      </w:r>
    </w:p>
    <w:p w14:paraId="735AF439" w14:textId="77777777" w:rsidR="00AE1B49" w:rsidRPr="00AE1B49" w:rsidRDefault="00AE1B49" w:rsidP="00AE1B49">
      <w:pPr>
        <w:pStyle w:val="ListParagraph"/>
        <w:rPr>
          <w:rFonts w:asciiTheme="majorHAnsi" w:hAnsiTheme="majorHAnsi" w:cstheme="majorHAnsi"/>
          <w:color w:val="2E2E38"/>
          <w:sz w:val="22"/>
          <w:szCs w:val="22"/>
          <w:shd w:val="clear" w:color="auto" w:fill="FFFFFF"/>
          <w:lang w:val="en-GB"/>
        </w:rPr>
      </w:pPr>
    </w:p>
    <w:p w14:paraId="03582B2B" w14:textId="77777777" w:rsidR="00AE1B49" w:rsidRPr="00AE1B49" w:rsidRDefault="00AE1B49" w:rsidP="00AE1B49">
      <w:pPr>
        <w:pStyle w:val="ListParagraph"/>
        <w:numPr>
          <w:ilvl w:val="0"/>
          <w:numId w:val="39"/>
        </w:numPr>
        <w:spacing w:after="160" w:line="259" w:lineRule="auto"/>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 xml:space="preserve">Better way </w:t>
      </w:r>
    </w:p>
    <w:p w14:paraId="687CB8DB"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Low-regret; no-regret</w:t>
      </w:r>
    </w:p>
    <w:p w14:paraId="13CC9828"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ICZM, setback zones, retreat, NBS financing, coastal building codes… protection infrastructure financing</w:t>
      </w:r>
    </w:p>
    <w:p w14:paraId="2AF5EDE8"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 xml:space="preserve">Risk management </w:t>
      </w:r>
    </w:p>
    <w:p w14:paraId="37B499AD"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Sustainable finance</w:t>
      </w:r>
    </w:p>
    <w:p w14:paraId="267844C3"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lang w:val="en-GB"/>
        </w:rPr>
      </w:pPr>
      <w:r w:rsidRPr="00AE1B49">
        <w:rPr>
          <w:rFonts w:asciiTheme="majorHAnsi" w:hAnsiTheme="majorHAnsi" w:cstheme="majorHAnsi"/>
          <w:color w:val="2E2E38"/>
          <w:sz w:val="22"/>
          <w:szCs w:val="22"/>
          <w:shd w:val="clear" w:color="auto" w:fill="FFFFFF"/>
          <w:lang w:val="en-GB"/>
        </w:rPr>
        <w:t>integration of long-term ESG criteria into business decisions to provide more equitable, sustainable and inclusive benefits to companies, communities and society, green/social bonds, sustainability</w:t>
      </w:r>
      <w:r w:rsidRPr="00AE1B49">
        <w:rPr>
          <w:rFonts w:asciiTheme="majorHAnsi" w:hAnsiTheme="majorHAnsi" w:cstheme="majorHAnsi"/>
          <w:color w:val="2E2E38"/>
          <w:sz w:val="22"/>
          <w:szCs w:val="22"/>
          <w:lang w:val="en-GB"/>
        </w:rPr>
        <w:t>-linked corporate loans, and green mortgages</w:t>
      </w:r>
    </w:p>
    <w:p w14:paraId="6EF2A82E" w14:textId="77777777" w:rsidR="00AE1B49" w:rsidRPr="00AE1B49" w:rsidRDefault="00AE1B49" w:rsidP="00AE1B49">
      <w:pPr>
        <w:pStyle w:val="ListParagraph"/>
        <w:rPr>
          <w:rFonts w:asciiTheme="majorHAnsi" w:hAnsiTheme="majorHAnsi" w:cstheme="majorHAnsi"/>
          <w:color w:val="2E2E38"/>
          <w:sz w:val="22"/>
          <w:szCs w:val="22"/>
          <w:lang w:val="en-GB"/>
        </w:rPr>
      </w:pPr>
    </w:p>
    <w:p w14:paraId="6E2AE784" w14:textId="77777777" w:rsidR="00AE1B49" w:rsidRPr="00AE1B49" w:rsidRDefault="00AE1B49" w:rsidP="00AE1B49">
      <w:pPr>
        <w:pStyle w:val="ListParagraph"/>
        <w:numPr>
          <w:ilvl w:val="0"/>
          <w:numId w:val="39"/>
        </w:numPr>
        <w:spacing w:after="160" w:line="259" w:lineRule="auto"/>
        <w:rPr>
          <w:rFonts w:asciiTheme="majorHAnsi" w:hAnsiTheme="majorHAnsi" w:cstheme="majorHAnsi"/>
          <w:b/>
          <w:bCs/>
          <w:color w:val="2E2E38"/>
          <w:sz w:val="22"/>
          <w:szCs w:val="22"/>
          <w:shd w:val="clear" w:color="auto" w:fill="FFFFFF"/>
          <w:lang w:val="en-GB"/>
        </w:rPr>
      </w:pPr>
      <w:r w:rsidRPr="00AE1B49">
        <w:rPr>
          <w:rFonts w:asciiTheme="majorHAnsi" w:hAnsiTheme="majorHAnsi" w:cstheme="majorHAnsi"/>
          <w:b/>
          <w:bCs/>
          <w:color w:val="2E2E38"/>
          <w:sz w:val="22"/>
          <w:szCs w:val="22"/>
          <w:shd w:val="clear" w:color="auto" w:fill="FFFFFF"/>
          <w:lang w:val="en-GB"/>
        </w:rPr>
        <w:t xml:space="preserve">Recommendations </w:t>
      </w:r>
    </w:p>
    <w:p w14:paraId="7F00A810"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Clearly articulate the publication’s main recommendation: for banks and investors to cease support for developments in LECZ</w:t>
      </w:r>
    </w:p>
    <w:p w14:paraId="573C6A6B"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Provide alternative investment strategies that align with sustainable coastal development, emphasising the importance of setback and contributing to adaptation</w:t>
      </w:r>
    </w:p>
    <w:p w14:paraId="43CB6768" w14:textId="77777777" w:rsidR="00AE1B49" w:rsidRPr="00AE1B49" w:rsidRDefault="00AE1B49" w:rsidP="00AE1B49">
      <w:pPr>
        <w:pStyle w:val="ListParagraph"/>
        <w:rPr>
          <w:rFonts w:asciiTheme="majorHAnsi" w:hAnsiTheme="majorHAnsi" w:cstheme="majorHAnsi"/>
          <w:color w:val="2E2E38"/>
          <w:sz w:val="22"/>
          <w:szCs w:val="22"/>
          <w:shd w:val="clear" w:color="auto" w:fill="FFFFFF"/>
          <w:lang w:val="en-GB"/>
        </w:rPr>
      </w:pPr>
    </w:p>
    <w:p w14:paraId="6D4AE721" w14:textId="77777777" w:rsidR="00AE1B49" w:rsidRPr="00AE1B49" w:rsidRDefault="00AE1B49" w:rsidP="00AE1B49">
      <w:pPr>
        <w:pStyle w:val="ListParagraph"/>
        <w:numPr>
          <w:ilvl w:val="0"/>
          <w:numId w:val="39"/>
        </w:numPr>
        <w:spacing w:after="160" w:line="259" w:lineRule="auto"/>
        <w:rPr>
          <w:rFonts w:asciiTheme="majorHAnsi" w:hAnsiTheme="majorHAnsi" w:cstheme="majorHAnsi"/>
          <w:b/>
          <w:bCs/>
          <w:color w:val="2E2E38"/>
          <w:sz w:val="22"/>
          <w:szCs w:val="22"/>
          <w:lang w:val="en-GB"/>
        </w:rPr>
      </w:pPr>
      <w:r w:rsidRPr="00AE1B49">
        <w:rPr>
          <w:rFonts w:asciiTheme="majorHAnsi" w:hAnsiTheme="majorHAnsi" w:cstheme="majorHAnsi"/>
          <w:b/>
          <w:bCs/>
          <w:color w:val="2E2E38"/>
          <w:sz w:val="22"/>
          <w:szCs w:val="22"/>
          <w:lang w:val="en-GB"/>
        </w:rPr>
        <w:t>Conclusion</w:t>
      </w:r>
    </w:p>
    <w:p w14:paraId="6D91E1D5"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Summarize key points and stress the urgency of adopting a more cautious approach to coastal developments</w:t>
      </w:r>
    </w:p>
    <w:p w14:paraId="1091AA88"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Encourage a collaborative effort among banks, investors and regulatory bodies to promote responsible and sustainable coastal development</w:t>
      </w:r>
    </w:p>
    <w:p w14:paraId="3F47EA83" w14:textId="77777777" w:rsidR="00AE1B49" w:rsidRPr="00AE1B49" w:rsidRDefault="00AE1B49" w:rsidP="00AE1B49">
      <w:pPr>
        <w:pStyle w:val="ListParagraph"/>
        <w:numPr>
          <w:ilvl w:val="1"/>
          <w:numId w:val="39"/>
        </w:numPr>
        <w:spacing w:after="160" w:line="259" w:lineRule="auto"/>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Highlight the need for climate action</w:t>
      </w:r>
    </w:p>
    <w:p w14:paraId="44FC8BE4" w14:textId="77777777" w:rsidR="00AE1B49" w:rsidRPr="00AE1B49" w:rsidRDefault="00AE1B49" w:rsidP="00AE1B49">
      <w:pPr>
        <w:autoSpaceDE w:val="0"/>
        <w:autoSpaceDN w:val="0"/>
        <w:adjustRightInd w:val="0"/>
        <w:rPr>
          <w:rFonts w:asciiTheme="majorHAnsi" w:hAnsiTheme="majorHAnsi" w:cstheme="majorHAnsi"/>
          <w:color w:val="2E2E38"/>
          <w:sz w:val="22"/>
          <w:szCs w:val="22"/>
          <w:shd w:val="clear" w:color="auto" w:fill="FFFFFF"/>
          <w:lang w:val="en-GB"/>
        </w:rPr>
      </w:pPr>
    </w:p>
    <w:p w14:paraId="278F7DAD" w14:textId="77777777" w:rsidR="00AE1B49" w:rsidRPr="00AE1B49" w:rsidRDefault="00AE1B49" w:rsidP="00AE1B49">
      <w:pPr>
        <w:autoSpaceDE w:val="0"/>
        <w:autoSpaceDN w:val="0"/>
        <w:adjustRightInd w:val="0"/>
        <w:rPr>
          <w:rFonts w:asciiTheme="majorHAnsi" w:hAnsiTheme="majorHAnsi" w:cstheme="majorHAnsi"/>
          <w:color w:val="2E2E38"/>
          <w:sz w:val="22"/>
          <w:szCs w:val="22"/>
          <w:shd w:val="clear" w:color="auto" w:fill="FFFFFF"/>
          <w:lang w:val="en-GB"/>
        </w:rPr>
      </w:pPr>
      <w:r w:rsidRPr="00AE1B49">
        <w:rPr>
          <w:rFonts w:asciiTheme="majorHAnsi" w:hAnsiTheme="majorHAnsi" w:cstheme="majorHAnsi"/>
          <w:color w:val="2E2E38"/>
          <w:sz w:val="22"/>
          <w:szCs w:val="22"/>
          <w:shd w:val="clear" w:color="auto" w:fill="FFFFFF"/>
          <w:lang w:val="en-GB"/>
        </w:rPr>
        <w:t>The above-presented outline is a draft proposal to which the tenderer is invited to respond with the revised version.</w:t>
      </w:r>
      <w:r w:rsidRPr="00AE1B49">
        <w:rPr>
          <w:rStyle w:val="FootnoteReference"/>
          <w:rFonts w:asciiTheme="majorHAnsi" w:hAnsiTheme="majorHAnsi" w:cstheme="majorHAnsi"/>
          <w:color w:val="2E2E38"/>
          <w:sz w:val="22"/>
          <w:szCs w:val="22"/>
          <w:shd w:val="clear" w:color="auto" w:fill="FFFFFF"/>
          <w:lang w:val="en-GB"/>
        </w:rPr>
        <w:footnoteReference w:id="11"/>
      </w:r>
      <w:r w:rsidRPr="00AE1B49">
        <w:rPr>
          <w:rFonts w:asciiTheme="majorHAnsi" w:hAnsiTheme="majorHAnsi" w:cstheme="majorHAnsi"/>
          <w:color w:val="2E2E38"/>
          <w:sz w:val="22"/>
          <w:szCs w:val="22"/>
          <w:shd w:val="clear" w:color="auto" w:fill="FFFFFF"/>
          <w:lang w:val="en-GB"/>
        </w:rPr>
        <w:t xml:space="preserve"> Finally, upon contract signature, the Tenderer can amend the above-presented outlines in consultation with PAP/RAC.</w:t>
      </w:r>
    </w:p>
    <w:p w14:paraId="46D51324" w14:textId="77777777" w:rsidR="00AE1B49" w:rsidRPr="00AE1B49" w:rsidRDefault="00AE1B49" w:rsidP="00AE1B49">
      <w:pPr>
        <w:rPr>
          <w:rFonts w:asciiTheme="majorHAnsi" w:hAnsiTheme="majorHAnsi" w:cstheme="majorHAnsi"/>
          <w:color w:val="2E2E38"/>
          <w:sz w:val="22"/>
          <w:szCs w:val="22"/>
          <w:shd w:val="clear" w:color="auto" w:fill="FFFFFF"/>
          <w:lang w:val="en-GB"/>
        </w:rPr>
      </w:pPr>
    </w:p>
    <w:p w14:paraId="60C463D4" w14:textId="77777777" w:rsidR="007773F0" w:rsidRPr="00AE1B49" w:rsidRDefault="007773F0" w:rsidP="00AE1B49">
      <w:pPr>
        <w:shd w:val="clear" w:color="auto" w:fill="FFFFFF"/>
        <w:spacing w:before="120" w:after="120"/>
        <w:rPr>
          <w:rFonts w:asciiTheme="majorHAnsi" w:hAnsiTheme="majorHAnsi" w:cstheme="majorHAnsi"/>
          <w:b/>
          <w:bCs/>
          <w:sz w:val="22"/>
          <w:szCs w:val="22"/>
          <w:lang w:val="en-GB"/>
        </w:rPr>
      </w:pPr>
    </w:p>
    <w:sectPr w:rsidR="007773F0" w:rsidRPr="00AE1B49" w:rsidSect="002E311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2FD8" w14:textId="77777777" w:rsidR="003C2BDD" w:rsidRDefault="003C2BDD" w:rsidP="00A85AC8">
      <w:r>
        <w:separator/>
      </w:r>
    </w:p>
  </w:endnote>
  <w:endnote w:type="continuationSeparator" w:id="0">
    <w:p w14:paraId="7228B7B8" w14:textId="77777777" w:rsidR="003C2BDD" w:rsidRDefault="003C2BDD"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73F76137" w:rsidR="002D562D" w:rsidRDefault="002D562D">
    <w:pPr>
      <w:pStyle w:val="Footer"/>
      <w:jc w:val="right"/>
    </w:pPr>
    <w:r>
      <w:fldChar w:fldCharType="begin"/>
    </w:r>
    <w:r>
      <w:instrText>PAGE   \* MERGEFORMAT</w:instrText>
    </w:r>
    <w:r>
      <w:fldChar w:fldCharType="separate"/>
    </w:r>
    <w:r w:rsidR="00DC4A0A">
      <w:rPr>
        <w:noProof/>
      </w:rPr>
      <w:t>4</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D7AB" w14:textId="77777777" w:rsidR="003C2BDD" w:rsidRDefault="003C2BDD" w:rsidP="00A85AC8">
      <w:r>
        <w:separator/>
      </w:r>
    </w:p>
  </w:footnote>
  <w:footnote w:type="continuationSeparator" w:id="0">
    <w:p w14:paraId="6A502AB0" w14:textId="77777777" w:rsidR="003C2BDD" w:rsidRDefault="003C2BDD" w:rsidP="00A85AC8">
      <w:r>
        <w:continuationSeparator/>
      </w:r>
    </w:p>
  </w:footnote>
  <w:footnote w:id="1">
    <w:p w14:paraId="5C5D48F9" w14:textId="77777777" w:rsidR="002D562D" w:rsidRPr="002D562D" w:rsidRDefault="002D562D" w:rsidP="002D562D">
      <w:pPr>
        <w:pStyle w:val="FootnoteText"/>
        <w:rPr>
          <w:sz w:val="18"/>
          <w:szCs w:val="18"/>
          <w:lang w:val="en-GB"/>
        </w:rPr>
      </w:pPr>
      <w:r>
        <w:rPr>
          <w:rStyle w:val="FootnoteReference"/>
        </w:rPr>
        <w:footnoteRef/>
      </w:r>
      <w:r w:rsidRPr="002D562D">
        <w:rPr>
          <w:lang w:val="en-GB"/>
        </w:rPr>
        <w:t xml:space="preserve"> </w:t>
      </w:r>
      <w:r w:rsidRPr="002D562D">
        <w:rPr>
          <w:sz w:val="18"/>
          <w:szCs w:val="18"/>
          <w:lang w:val="en-GB"/>
        </w:rPr>
        <w:t>Or national identification number according to the economic operator’s country of establishment, if applicable</w:t>
      </w:r>
    </w:p>
  </w:footnote>
  <w:footnote w:id="2">
    <w:p w14:paraId="494ED829" w14:textId="77777777" w:rsidR="007773F0" w:rsidRPr="00B0069F" w:rsidRDefault="007773F0" w:rsidP="007773F0">
      <w:pPr>
        <w:pStyle w:val="FootnoteText"/>
      </w:pPr>
      <w:r w:rsidRPr="00B0069F">
        <w:rPr>
          <w:rStyle w:val="FootnoteReference"/>
          <w:sz w:val="18"/>
          <w:szCs w:val="18"/>
        </w:rPr>
        <w:footnoteRef/>
      </w:r>
      <w:r w:rsidRPr="00B0069F">
        <w:rPr>
          <w:sz w:val="18"/>
          <w:szCs w:val="18"/>
        </w:rPr>
        <w:t xml:space="preserve"> </w:t>
      </w:r>
      <w:r w:rsidRPr="00B9129E">
        <w:rPr>
          <w:sz w:val="18"/>
          <w:szCs w:val="18"/>
          <w:shd w:val="clear" w:color="auto" w:fill="FFFFFF"/>
        </w:rPr>
        <w:t>Economic operators in Croatia that are not in VAT system</w:t>
      </w:r>
      <w:r w:rsidRPr="00B9129E">
        <w:rPr>
          <w:rFonts w:cs="Calibri"/>
          <w:spacing w:val="-1"/>
          <w:sz w:val="18"/>
          <w:szCs w:val="18"/>
          <w:shd w:val="clear" w:color="auto" w:fill="FFFFFF"/>
        </w:rPr>
        <w:t xml:space="preserve"> </w:t>
      </w:r>
      <w:r w:rsidRPr="00B9129E">
        <w:rPr>
          <w:sz w:val="18"/>
          <w:szCs w:val="18"/>
          <w:shd w:val="clear" w:color="auto" w:fill="FFFFFF"/>
        </w:rPr>
        <w:t>put 0. Economic operators outside the Republic of Croatia (natural persons and companies) in or out of VAT system, in the place of VAT put note “reverse charge”</w:t>
      </w:r>
    </w:p>
  </w:footnote>
  <w:footnote w:id="3">
    <w:p w14:paraId="01C55D2A" w14:textId="5C6D5639" w:rsidR="002D562D" w:rsidRPr="00AE5776" w:rsidRDefault="002D562D" w:rsidP="002D562D">
      <w:pPr>
        <w:pStyle w:val="FootnoteText"/>
        <w:rPr>
          <w:sz w:val="18"/>
          <w:szCs w:val="18"/>
          <w:lang w:val="hr-HR"/>
        </w:rPr>
      </w:pPr>
      <w:r w:rsidRPr="00AE5776">
        <w:rPr>
          <w:rStyle w:val="FootnoteReference"/>
          <w:sz w:val="18"/>
          <w:szCs w:val="18"/>
        </w:rPr>
        <w:footnoteRef/>
      </w:r>
      <w:r w:rsidRPr="007A3D50">
        <w:rPr>
          <w:sz w:val="18"/>
          <w:szCs w:val="18"/>
          <w:lang w:val="en-US"/>
        </w:rPr>
        <w:t xml:space="preserve"> </w:t>
      </w:r>
      <w:r w:rsidRPr="00AE5776">
        <w:rPr>
          <w:sz w:val="18"/>
          <w:szCs w:val="18"/>
          <w:lang w:val="hr-HR"/>
        </w:rPr>
        <w:t>Add rows</w:t>
      </w:r>
      <w:r>
        <w:rPr>
          <w:sz w:val="18"/>
          <w:szCs w:val="18"/>
          <w:lang w:val="hr-HR"/>
        </w:rPr>
        <w:t>,</w:t>
      </w:r>
      <w:r w:rsidRPr="00AE5776">
        <w:rPr>
          <w:sz w:val="18"/>
          <w:szCs w:val="18"/>
          <w:lang w:val="hr-HR"/>
        </w:rPr>
        <w:t xml:space="preserve"> </w:t>
      </w:r>
      <w:r w:rsidR="001B08DA">
        <w:rPr>
          <w:sz w:val="18"/>
          <w:szCs w:val="18"/>
          <w:lang w:val="hr-HR"/>
        </w:rPr>
        <w:t>if</w:t>
      </w:r>
      <w:r w:rsidRPr="00AE5776">
        <w:rPr>
          <w:sz w:val="18"/>
          <w:szCs w:val="18"/>
          <w:lang w:val="hr-HR"/>
        </w:rPr>
        <w:t xml:space="preserve"> necessary</w:t>
      </w:r>
    </w:p>
  </w:footnote>
  <w:footnote w:id="4">
    <w:p w14:paraId="33913452" w14:textId="77777777" w:rsidR="00AC2DD5" w:rsidRPr="00AE5776" w:rsidRDefault="00AC2DD5" w:rsidP="00AC2DD5">
      <w:pPr>
        <w:pStyle w:val="FootnoteText"/>
        <w:rPr>
          <w:sz w:val="18"/>
          <w:szCs w:val="18"/>
          <w:lang w:val="hr-HR"/>
        </w:rPr>
      </w:pPr>
      <w:r w:rsidRPr="00AE5776">
        <w:rPr>
          <w:rStyle w:val="FootnoteReference"/>
          <w:sz w:val="18"/>
          <w:szCs w:val="18"/>
        </w:rPr>
        <w:footnoteRef/>
      </w:r>
      <w:r w:rsidRPr="007A3D50">
        <w:rPr>
          <w:sz w:val="18"/>
          <w:szCs w:val="18"/>
          <w:lang w:val="en-US"/>
        </w:rPr>
        <w:t xml:space="preserve"> </w:t>
      </w:r>
      <w:r w:rsidRPr="00AE5776">
        <w:rPr>
          <w:sz w:val="18"/>
          <w:szCs w:val="18"/>
          <w:lang w:val="hr-HR"/>
        </w:rPr>
        <w:t>Add rows</w:t>
      </w:r>
      <w:r>
        <w:rPr>
          <w:sz w:val="18"/>
          <w:szCs w:val="18"/>
          <w:lang w:val="hr-HR"/>
        </w:rPr>
        <w:t>,</w:t>
      </w:r>
      <w:r w:rsidRPr="00AE5776">
        <w:rPr>
          <w:sz w:val="18"/>
          <w:szCs w:val="18"/>
          <w:lang w:val="hr-HR"/>
        </w:rPr>
        <w:t xml:space="preserve"> </w:t>
      </w:r>
      <w:r>
        <w:rPr>
          <w:sz w:val="18"/>
          <w:szCs w:val="18"/>
          <w:lang w:val="hr-HR"/>
        </w:rPr>
        <w:t>if</w:t>
      </w:r>
      <w:r w:rsidRPr="00AE5776">
        <w:rPr>
          <w:sz w:val="18"/>
          <w:szCs w:val="18"/>
          <w:lang w:val="hr-HR"/>
        </w:rPr>
        <w:t xml:space="preserve"> necessary</w:t>
      </w:r>
    </w:p>
  </w:footnote>
  <w:footnote w:id="5">
    <w:p w14:paraId="192E1F9C" w14:textId="450ACC66" w:rsidR="005C2869" w:rsidRPr="005C2869" w:rsidRDefault="005C2869">
      <w:pPr>
        <w:pStyle w:val="FootnoteText"/>
        <w:rPr>
          <w:rFonts w:asciiTheme="majorHAnsi" w:hAnsiTheme="majorHAnsi" w:cstheme="majorHAnsi"/>
          <w:lang w:val="hr-HR"/>
        </w:rPr>
      </w:pPr>
      <w:r w:rsidRPr="005C2869">
        <w:rPr>
          <w:rStyle w:val="FootnoteReference"/>
          <w:rFonts w:asciiTheme="majorHAnsi" w:hAnsiTheme="majorHAnsi" w:cstheme="majorHAnsi"/>
        </w:rPr>
        <w:footnoteRef/>
      </w:r>
      <w:r w:rsidRPr="007A3D50">
        <w:rPr>
          <w:rFonts w:asciiTheme="majorHAnsi" w:hAnsiTheme="majorHAnsi" w:cstheme="majorHAnsi"/>
          <w:lang w:val="en-US"/>
        </w:rPr>
        <w:t xml:space="preserve"> </w:t>
      </w:r>
      <w:r w:rsidRPr="007A3D50">
        <w:rPr>
          <w:rFonts w:asciiTheme="majorHAnsi" w:hAnsiTheme="majorHAnsi" w:cstheme="majorHAnsi"/>
          <w:sz w:val="18"/>
          <w:szCs w:val="18"/>
          <w:lang w:val="en-US"/>
        </w:rPr>
        <w:t xml:space="preserve">Economic operators </w:t>
      </w:r>
      <w:r w:rsidR="003F76D0">
        <w:rPr>
          <w:rFonts w:asciiTheme="majorHAnsi" w:hAnsiTheme="majorHAnsi" w:cstheme="majorHAnsi"/>
          <w:sz w:val="18"/>
          <w:szCs w:val="18"/>
          <w:lang w:val="en-US"/>
        </w:rPr>
        <w:t>registered</w:t>
      </w:r>
      <w:r w:rsidR="005E6CBB" w:rsidRPr="007A3D50">
        <w:rPr>
          <w:rFonts w:asciiTheme="majorHAnsi" w:hAnsiTheme="majorHAnsi" w:cstheme="majorHAnsi"/>
          <w:sz w:val="18"/>
          <w:szCs w:val="18"/>
          <w:lang w:val="en-US"/>
        </w:rPr>
        <w:t xml:space="preserve"> in Croatia that are not in </w:t>
      </w:r>
      <w:r w:rsidR="003F76D0">
        <w:rPr>
          <w:rFonts w:asciiTheme="majorHAnsi" w:hAnsiTheme="majorHAnsi" w:cstheme="majorHAnsi"/>
          <w:sz w:val="18"/>
          <w:szCs w:val="18"/>
          <w:lang w:val="en-US"/>
        </w:rPr>
        <w:t xml:space="preserve">the </w:t>
      </w:r>
      <w:r w:rsidR="005E6CBB" w:rsidRPr="007A3D50">
        <w:rPr>
          <w:rFonts w:asciiTheme="majorHAnsi" w:hAnsiTheme="majorHAnsi" w:cstheme="majorHAnsi"/>
          <w:sz w:val="18"/>
          <w:szCs w:val="18"/>
          <w:lang w:val="en-US"/>
        </w:rPr>
        <w:t xml:space="preserve">VAT system and economic operators </w:t>
      </w:r>
      <w:r w:rsidR="003F76D0">
        <w:rPr>
          <w:rFonts w:asciiTheme="majorHAnsi" w:hAnsiTheme="majorHAnsi" w:cstheme="majorHAnsi"/>
          <w:sz w:val="18"/>
          <w:szCs w:val="18"/>
          <w:lang w:val="en-US"/>
        </w:rPr>
        <w:t>registered</w:t>
      </w:r>
      <w:r w:rsidR="000D0ED5" w:rsidRPr="007A3D50">
        <w:rPr>
          <w:rFonts w:asciiTheme="majorHAnsi" w:hAnsiTheme="majorHAnsi" w:cstheme="majorHAnsi"/>
          <w:sz w:val="18"/>
          <w:szCs w:val="18"/>
          <w:lang w:val="en-US"/>
        </w:rPr>
        <w:t xml:space="preserve"> outside the Republic of Croatia do not fill the column</w:t>
      </w:r>
    </w:p>
  </w:footnote>
  <w:footnote w:id="6">
    <w:p w14:paraId="774C15E1" w14:textId="77777777" w:rsidR="00AE1B49" w:rsidRPr="00AE1B49" w:rsidRDefault="00AE1B49" w:rsidP="00AE1B49">
      <w:pPr>
        <w:rPr>
          <w:rFonts w:asciiTheme="majorHAnsi" w:hAnsiTheme="majorHAnsi" w:cstheme="majorHAnsi"/>
          <w:sz w:val="20"/>
          <w:szCs w:val="20"/>
          <w:lang w:val="en-GB"/>
        </w:rPr>
      </w:pPr>
      <w:r w:rsidRPr="00AE1B49">
        <w:rPr>
          <w:rStyle w:val="FootnoteReference"/>
          <w:rFonts w:asciiTheme="majorHAnsi" w:hAnsiTheme="majorHAnsi" w:cstheme="majorHAnsi"/>
          <w:sz w:val="20"/>
          <w:szCs w:val="20"/>
          <w:lang w:val="en-GB"/>
        </w:rPr>
        <w:footnoteRef/>
      </w:r>
      <w:r w:rsidRPr="00AE1B49">
        <w:rPr>
          <w:rFonts w:asciiTheme="majorHAnsi" w:hAnsiTheme="majorHAnsi" w:cstheme="majorHAnsi"/>
          <w:sz w:val="20"/>
          <w:szCs w:val="20"/>
          <w:lang w:val="en-GB"/>
        </w:rPr>
        <w:t xml:space="preserve"> In February 2023, the U.N. Secretary-General stressed the urgency to respond to “Sea-level Rise: Implications for International Peace &amp; Security”, where ‘sea-level rise is not only a threat itself. It is a threat multiplier’.</w:t>
      </w:r>
    </w:p>
  </w:footnote>
  <w:footnote w:id="7">
    <w:p w14:paraId="3CF055B8" w14:textId="77777777" w:rsidR="00AE1B49" w:rsidRPr="00AE1B49" w:rsidRDefault="00AE1B49" w:rsidP="00AE1B49">
      <w:pPr>
        <w:rPr>
          <w:rFonts w:asciiTheme="majorHAnsi" w:hAnsiTheme="majorHAnsi" w:cstheme="majorHAnsi"/>
          <w:sz w:val="20"/>
          <w:szCs w:val="20"/>
        </w:rPr>
      </w:pPr>
      <w:r w:rsidRPr="00AE1B49">
        <w:rPr>
          <w:rFonts w:asciiTheme="majorHAnsi" w:hAnsiTheme="majorHAnsi" w:cstheme="majorHAnsi"/>
          <w:sz w:val="20"/>
          <w:szCs w:val="20"/>
          <w:vertAlign w:val="superscript"/>
          <w:lang w:val="en-GB"/>
        </w:rPr>
        <w:footnoteRef/>
      </w:r>
      <w:r w:rsidRPr="00AE1B49">
        <w:rPr>
          <w:rFonts w:asciiTheme="majorHAnsi" w:hAnsiTheme="majorHAnsi" w:cstheme="majorHAnsi"/>
          <w:sz w:val="20"/>
          <w:szCs w:val="20"/>
          <w:lang w:val="en-GB"/>
        </w:rPr>
        <w:t xml:space="preserve"> Protecting Coastal Zones in the Mediterranean. An Economic and Regulatory Analysis” (PAP/RAC, 2007)</w:t>
      </w:r>
    </w:p>
  </w:footnote>
  <w:footnote w:id="8">
    <w:p w14:paraId="6B154CC8" w14:textId="77777777" w:rsidR="00AE1B49" w:rsidRPr="00AE1B49" w:rsidRDefault="00AE1B49" w:rsidP="00AE1B49">
      <w:pPr>
        <w:pStyle w:val="FootnoteText"/>
        <w:rPr>
          <w:rFonts w:asciiTheme="majorHAnsi" w:hAnsiTheme="majorHAnsi" w:cstheme="majorHAnsi"/>
          <w:sz w:val="20"/>
          <w:szCs w:val="20"/>
        </w:rPr>
      </w:pPr>
      <w:r w:rsidRPr="00AE1B49">
        <w:rPr>
          <w:rStyle w:val="FootnoteReference"/>
          <w:rFonts w:asciiTheme="majorHAnsi" w:hAnsiTheme="majorHAnsi" w:cstheme="majorHAnsi"/>
          <w:sz w:val="20"/>
          <w:szCs w:val="20"/>
        </w:rPr>
        <w:footnoteRef/>
      </w:r>
      <w:r w:rsidRPr="00AE1B49">
        <w:rPr>
          <w:rFonts w:asciiTheme="majorHAnsi" w:hAnsiTheme="majorHAnsi" w:cstheme="majorHAnsi"/>
          <w:sz w:val="20"/>
          <w:szCs w:val="20"/>
        </w:rPr>
        <w:t xml:space="preserve"> </w:t>
      </w:r>
      <w:r w:rsidRPr="00AE1B49">
        <w:rPr>
          <w:rFonts w:asciiTheme="majorHAnsi" w:hAnsiTheme="majorHAnsi" w:cstheme="majorHAnsi"/>
          <w:sz w:val="20"/>
          <w:szCs w:val="20"/>
          <w:lang w:val="en-GB"/>
        </w:rPr>
        <w:t>“Evolution of built-up area in coastal zones of Mediterranean countries between 1975-2015” (PAP/RAC, 2017)</w:t>
      </w:r>
    </w:p>
  </w:footnote>
  <w:footnote w:id="9">
    <w:p w14:paraId="2B2F85CD" w14:textId="77777777" w:rsidR="00AE1B49" w:rsidRPr="00AE1B49" w:rsidRDefault="00AE1B49" w:rsidP="00AE1B49">
      <w:pPr>
        <w:pStyle w:val="FootnoteText"/>
        <w:rPr>
          <w:rFonts w:asciiTheme="majorHAnsi" w:hAnsiTheme="majorHAnsi" w:cstheme="majorHAnsi"/>
          <w:sz w:val="20"/>
          <w:szCs w:val="20"/>
        </w:rPr>
      </w:pPr>
      <w:r w:rsidRPr="00AE1B49">
        <w:rPr>
          <w:rStyle w:val="FootnoteReference"/>
          <w:rFonts w:asciiTheme="majorHAnsi" w:hAnsiTheme="majorHAnsi" w:cstheme="majorHAnsi"/>
          <w:sz w:val="20"/>
          <w:szCs w:val="20"/>
        </w:rPr>
        <w:footnoteRef/>
      </w:r>
      <w:r w:rsidRPr="00AE1B49">
        <w:rPr>
          <w:rFonts w:asciiTheme="majorHAnsi" w:hAnsiTheme="majorHAnsi" w:cstheme="majorHAnsi"/>
          <w:sz w:val="20"/>
          <w:szCs w:val="20"/>
        </w:rPr>
        <w:t xml:space="preserve"> </w:t>
      </w:r>
      <w:r w:rsidRPr="00AE1B49">
        <w:rPr>
          <w:rFonts w:asciiTheme="majorHAnsi" w:hAnsiTheme="majorHAnsi" w:cstheme="majorHAnsi"/>
          <w:color w:val="2E2E38"/>
          <w:sz w:val="20"/>
          <w:szCs w:val="20"/>
          <w:shd w:val="clear" w:color="auto" w:fill="FFFFFF"/>
          <w:lang w:val="en-GB"/>
        </w:rPr>
        <w:t>“Contribution to the 2023 Med QSR for the cluster on Coast and Hydrography„ (UNEP/MAP PAP/RAC, 2023)</w:t>
      </w:r>
    </w:p>
  </w:footnote>
  <w:footnote w:id="10">
    <w:p w14:paraId="592CC7BD" w14:textId="77777777" w:rsidR="00AE1B49" w:rsidRPr="00EC5E2C" w:rsidRDefault="00AE1B49" w:rsidP="00AE1B49">
      <w:pPr>
        <w:pStyle w:val="FootnoteText"/>
        <w:rPr>
          <w:rFonts w:cstheme="minorHAnsi"/>
        </w:rPr>
      </w:pPr>
      <w:r w:rsidRPr="00AE1B49">
        <w:rPr>
          <w:rStyle w:val="FootnoteReference"/>
          <w:rFonts w:asciiTheme="majorHAnsi" w:hAnsiTheme="majorHAnsi" w:cstheme="majorHAnsi"/>
          <w:sz w:val="20"/>
          <w:szCs w:val="20"/>
        </w:rPr>
        <w:footnoteRef/>
      </w:r>
      <w:r w:rsidRPr="00AE1B49">
        <w:rPr>
          <w:rFonts w:asciiTheme="majorHAnsi" w:hAnsiTheme="majorHAnsi" w:cstheme="majorHAnsi"/>
          <w:sz w:val="20"/>
          <w:szCs w:val="20"/>
        </w:rPr>
        <w:t xml:space="preserve"> </w:t>
      </w:r>
      <w:r w:rsidRPr="00AE1B49">
        <w:rPr>
          <w:rFonts w:asciiTheme="majorHAnsi" w:hAnsiTheme="majorHAnsi" w:cstheme="majorHAnsi"/>
          <w:color w:val="2E2E38"/>
          <w:sz w:val="20"/>
          <w:szCs w:val="20"/>
          <w:shd w:val="clear" w:color="auto" w:fill="FFFFFF"/>
          <w:lang w:val="en-GB"/>
        </w:rPr>
        <w:t>“Upgraded LCC indicator 25 proposal” (PAP/RAC, 2022)</w:t>
      </w:r>
    </w:p>
  </w:footnote>
  <w:footnote w:id="11">
    <w:p w14:paraId="25F77554" w14:textId="77777777" w:rsidR="00AE1B49" w:rsidRPr="00AE1B49" w:rsidRDefault="00AE1B49" w:rsidP="00AE1B49">
      <w:pPr>
        <w:pStyle w:val="FootnoteText"/>
        <w:rPr>
          <w:rFonts w:asciiTheme="majorHAnsi" w:hAnsiTheme="majorHAnsi" w:cstheme="majorHAnsi"/>
          <w:sz w:val="20"/>
          <w:szCs w:val="20"/>
        </w:rPr>
      </w:pPr>
      <w:r w:rsidRPr="00AE1B49">
        <w:rPr>
          <w:rStyle w:val="FootnoteReference"/>
          <w:rFonts w:asciiTheme="majorHAnsi" w:hAnsiTheme="majorHAnsi" w:cstheme="majorHAnsi"/>
          <w:sz w:val="20"/>
          <w:szCs w:val="20"/>
        </w:rPr>
        <w:footnoteRef/>
      </w:r>
      <w:r w:rsidRPr="00AE1B49">
        <w:rPr>
          <w:rFonts w:asciiTheme="majorHAnsi" w:hAnsiTheme="majorHAnsi" w:cstheme="majorHAnsi"/>
          <w:sz w:val="20"/>
          <w:szCs w:val="20"/>
        </w:rPr>
        <w:t xml:space="preserve"> </w:t>
      </w:r>
      <w:r w:rsidRPr="00AE1B49">
        <w:rPr>
          <w:rFonts w:asciiTheme="majorHAnsi" w:hAnsiTheme="majorHAnsi" w:cstheme="majorHAnsi"/>
          <w:color w:val="2E2E38"/>
          <w:sz w:val="20"/>
          <w:szCs w:val="20"/>
          <w:shd w:val="clear" w:color="auto" w:fill="FFFFFF"/>
          <w:lang w:val="en-GB"/>
        </w:rPr>
        <w:t>In November 2023. UNEP published Principles for Responsible Banking: Guidance for banks. The tenderer is invited to consider aligning the language, style and the approach with the recently published UNEP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626" w14:textId="5819D5DF" w:rsidR="00903418" w:rsidRDefault="00F0622E">
    <w:pPr>
      <w:pStyle w:val="Header"/>
    </w:pPr>
    <w:r>
      <w:rPr>
        <w:noProof/>
      </w:rPr>
      <w:drawing>
        <wp:anchor distT="0" distB="0" distL="114300" distR="114300" simplePos="0" relativeHeight="251660288" behindDoc="0" locked="0" layoutInCell="1" allowOverlap="1" wp14:anchorId="2C31D067" wp14:editId="6220964E">
          <wp:simplePos x="0" y="0"/>
          <wp:positionH relativeFrom="column">
            <wp:posOffset>1028700</wp:posOffset>
          </wp:positionH>
          <wp:positionV relativeFrom="paragraph">
            <wp:posOffset>176860</wp:posOffset>
          </wp:positionV>
          <wp:extent cx="1600835" cy="753745"/>
          <wp:effectExtent l="0" t="0" r="0" b="0"/>
          <wp:wrapSquare wrapText="bothSides"/>
          <wp:docPr id="753548946" name="Picture 75354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600835" cy="7537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70E104D" wp14:editId="051BF215">
          <wp:simplePos x="0" y="0"/>
          <wp:positionH relativeFrom="column">
            <wp:posOffset>-207645</wp:posOffset>
          </wp:positionH>
          <wp:positionV relativeFrom="paragraph">
            <wp:posOffset>90500</wp:posOffset>
          </wp:positionV>
          <wp:extent cx="1184275" cy="837565"/>
          <wp:effectExtent l="0" t="0" r="0" b="0"/>
          <wp:wrapSquare wrapText="bothSides"/>
          <wp:docPr id="1951748515" name="Picture 195174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
                    <a:extLst>
                      <a:ext uri="{28A0092B-C50C-407E-A947-70E740481C1C}">
                        <a14:useLocalDpi xmlns:a14="http://schemas.microsoft.com/office/drawing/2010/main" val="0"/>
                      </a:ext>
                    </a:extLst>
                  </a:blip>
                  <a:stretch>
                    <a:fillRect/>
                  </a:stretch>
                </pic:blipFill>
                <pic:spPr>
                  <a:xfrm>
                    <a:off x="0" y="0"/>
                    <a:ext cx="1184275" cy="8375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DAF2F60" wp14:editId="722EB43C">
          <wp:simplePos x="0" y="0"/>
          <wp:positionH relativeFrom="rightMargin">
            <wp:posOffset>-643814</wp:posOffset>
          </wp:positionH>
          <wp:positionV relativeFrom="paragraph">
            <wp:posOffset>356463</wp:posOffset>
          </wp:positionV>
          <wp:extent cx="356870" cy="358140"/>
          <wp:effectExtent l="0" t="0" r="5080" b="3810"/>
          <wp:wrapSquare wrapText="bothSides"/>
          <wp:docPr id="1879490110" name="Picture 187949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89385" name="Picture 1298989385"/>
                  <pic:cNvPicPr/>
                </pic:nvPicPr>
                <pic:blipFill>
                  <a:blip r:embed="rId3">
                    <a:extLst>
                      <a:ext uri="{28A0092B-C50C-407E-A947-70E740481C1C}">
                        <a14:useLocalDpi xmlns:a14="http://schemas.microsoft.com/office/drawing/2010/main" val="0"/>
                      </a:ext>
                    </a:extLst>
                  </a:blip>
                  <a:stretch>
                    <a:fillRect/>
                  </a:stretch>
                </pic:blipFill>
                <pic:spPr>
                  <a:xfrm>
                    <a:off x="0" y="0"/>
                    <a:ext cx="356870" cy="358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E1163A" wp14:editId="661DEA7D">
          <wp:simplePos x="0" y="0"/>
          <wp:positionH relativeFrom="column">
            <wp:posOffset>3196183</wp:posOffset>
          </wp:positionH>
          <wp:positionV relativeFrom="paragraph">
            <wp:posOffset>145872</wp:posOffset>
          </wp:positionV>
          <wp:extent cx="2191385" cy="800735"/>
          <wp:effectExtent l="0" t="0" r="0" b="0"/>
          <wp:wrapNone/>
          <wp:docPr id="970180188" name="Picture 970180188"/>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4">
                    <a:alphaModFix/>
                  </a:blip>
                  <a:srcRect/>
                  <a:stretch/>
                </pic:blipFill>
                <pic:spPr>
                  <a:xfrm>
                    <a:off x="0" y="0"/>
                    <a:ext cx="219138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19F55AD" wp14:editId="6E6D8340">
          <wp:simplePos x="0" y="0"/>
          <wp:positionH relativeFrom="column">
            <wp:posOffset>2640889</wp:posOffset>
          </wp:positionH>
          <wp:positionV relativeFrom="paragraph">
            <wp:posOffset>177139</wp:posOffset>
          </wp:positionV>
          <wp:extent cx="455930" cy="607695"/>
          <wp:effectExtent l="0" t="0" r="1270" b="1905"/>
          <wp:wrapSquare wrapText="bothSides"/>
          <wp:docPr id="229466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66681" name="Picture 229466681"/>
                  <pic:cNvPicPr/>
                </pic:nvPicPr>
                <pic:blipFill>
                  <a:blip r:embed="rId5">
                    <a:extLst>
                      <a:ext uri="{28A0092B-C50C-407E-A947-70E740481C1C}">
                        <a14:useLocalDpi xmlns:a14="http://schemas.microsoft.com/office/drawing/2010/main" val="0"/>
                      </a:ext>
                    </a:extLst>
                  </a:blip>
                  <a:stretch>
                    <a:fillRect/>
                  </a:stretch>
                </pic:blipFill>
                <pic:spPr>
                  <a:xfrm>
                    <a:off x="0" y="0"/>
                    <a:ext cx="455930" cy="607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25F7797"/>
    <w:multiLevelType w:val="hybridMultilevel"/>
    <w:tmpl w:val="240E771E"/>
    <w:lvl w:ilvl="0" w:tplc="36E8BF66">
      <w:start w:val="6"/>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0285D"/>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A103B1"/>
    <w:multiLevelType w:val="hybridMultilevel"/>
    <w:tmpl w:val="C0E0D214"/>
    <w:lvl w:ilvl="0" w:tplc="B382F47C">
      <w:start w:val="1"/>
      <w:numFmt w:val="decimal"/>
      <w:lvlText w:val="%1."/>
      <w:lvlJc w:val="left"/>
      <w:pPr>
        <w:ind w:left="360" w:hanging="360"/>
      </w:pPr>
      <w:rPr>
        <w:rFonts w:hint="default"/>
      </w:rPr>
    </w:lvl>
    <w:lvl w:ilvl="1" w:tplc="FFFFFFFF">
      <w:start w:val="1"/>
      <w:numFmt w:val="lowerLetter"/>
      <w:lvlText w:val="%2."/>
      <w:lvlJc w:val="left"/>
      <w:pPr>
        <w:ind w:left="720" w:hanging="360"/>
      </w:pPr>
    </w:lvl>
    <w:lvl w:ilvl="2" w:tplc="FFFFFFFF">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7"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58006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6D590F"/>
    <w:multiLevelType w:val="hybridMultilevel"/>
    <w:tmpl w:val="F2A4473E"/>
    <w:lvl w:ilvl="0" w:tplc="041A000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1"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4"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5"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6"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451E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3"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5"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6" w15:restartNumberingAfterBreak="0">
    <w:nsid w:val="4B0079D0"/>
    <w:multiLevelType w:val="hybridMultilevel"/>
    <w:tmpl w:val="7696C414"/>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E41757"/>
    <w:multiLevelType w:val="hybridMultilevel"/>
    <w:tmpl w:val="F51A98C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590272ED"/>
    <w:multiLevelType w:val="hybridMultilevel"/>
    <w:tmpl w:val="6EE4C2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31"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F300C44"/>
    <w:multiLevelType w:val="multilevel"/>
    <w:tmpl w:val="9D60098C"/>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4"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39E73EB"/>
    <w:multiLevelType w:val="hybridMultilevel"/>
    <w:tmpl w:val="E8E06760"/>
    <w:lvl w:ilvl="0" w:tplc="041A0019">
      <w:start w:val="1"/>
      <w:numFmt w:val="lowerLetter"/>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C2E6FDF"/>
    <w:multiLevelType w:val="hybridMultilevel"/>
    <w:tmpl w:val="AE56C9EE"/>
    <w:lvl w:ilvl="0" w:tplc="FFFFFFFF">
      <w:start w:val="1"/>
      <w:numFmt w:val="decimal"/>
      <w:lvlText w:val="%1."/>
      <w:lvlJc w:val="left"/>
      <w:pPr>
        <w:ind w:left="360" w:hanging="360"/>
      </w:pPr>
    </w:lvl>
    <w:lvl w:ilvl="1" w:tplc="FFFFFFFF">
      <w:start w:val="1"/>
      <w:numFmt w:val="lowerLetter"/>
      <w:lvlText w:val="%2."/>
      <w:lvlJc w:val="left"/>
      <w:pPr>
        <w:ind w:left="720" w:hanging="360"/>
      </w:pPr>
    </w:lvl>
    <w:lvl w:ilvl="2" w:tplc="041A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1616901"/>
    <w:multiLevelType w:val="hybridMultilevel"/>
    <w:tmpl w:val="DCA40BC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6378580">
    <w:abstractNumId w:val="34"/>
  </w:num>
  <w:num w:numId="2" w16cid:durableId="875502223">
    <w:abstractNumId w:val="41"/>
  </w:num>
  <w:num w:numId="3" w16cid:durableId="258636424">
    <w:abstractNumId w:val="16"/>
  </w:num>
  <w:num w:numId="4" w16cid:durableId="1920865346">
    <w:abstractNumId w:val="20"/>
  </w:num>
  <w:num w:numId="5" w16cid:durableId="954098968">
    <w:abstractNumId w:val="21"/>
  </w:num>
  <w:num w:numId="6" w16cid:durableId="1836146772">
    <w:abstractNumId w:val="12"/>
  </w:num>
  <w:num w:numId="7" w16cid:durableId="772474114">
    <w:abstractNumId w:val="23"/>
  </w:num>
  <w:num w:numId="8" w16cid:durableId="2087456112">
    <w:abstractNumId w:val="1"/>
  </w:num>
  <w:num w:numId="9" w16cid:durableId="307786499">
    <w:abstractNumId w:val="24"/>
  </w:num>
  <w:num w:numId="10" w16cid:durableId="1204441151">
    <w:abstractNumId w:val="40"/>
  </w:num>
  <w:num w:numId="11" w16cid:durableId="703750991">
    <w:abstractNumId w:val="19"/>
  </w:num>
  <w:num w:numId="12" w16cid:durableId="765341766">
    <w:abstractNumId w:val="26"/>
  </w:num>
  <w:num w:numId="13" w16cid:durableId="26419293">
    <w:abstractNumId w:val="6"/>
  </w:num>
  <w:num w:numId="14" w16cid:durableId="100804443">
    <w:abstractNumId w:val="22"/>
  </w:num>
  <w:num w:numId="15" w16cid:durableId="555777773">
    <w:abstractNumId w:val="30"/>
  </w:num>
  <w:num w:numId="16" w16cid:durableId="646784108">
    <w:abstractNumId w:val="14"/>
  </w:num>
  <w:num w:numId="17" w16cid:durableId="300766159">
    <w:abstractNumId w:val="15"/>
  </w:num>
  <w:num w:numId="18" w16cid:durableId="1169248915">
    <w:abstractNumId w:val="13"/>
  </w:num>
  <w:num w:numId="19" w16cid:durableId="708410093">
    <w:abstractNumId w:val="10"/>
  </w:num>
  <w:num w:numId="20" w16cid:durableId="1016426209">
    <w:abstractNumId w:val="25"/>
  </w:num>
  <w:num w:numId="21" w16cid:durableId="1502545446">
    <w:abstractNumId w:val="31"/>
  </w:num>
  <w:num w:numId="22" w16cid:durableId="1739746001">
    <w:abstractNumId w:val="0"/>
  </w:num>
  <w:num w:numId="23" w16cid:durableId="419378629">
    <w:abstractNumId w:val="11"/>
  </w:num>
  <w:num w:numId="24" w16cid:durableId="1481188594">
    <w:abstractNumId w:val="39"/>
  </w:num>
  <w:num w:numId="25" w16cid:durableId="602105511">
    <w:abstractNumId w:val="32"/>
  </w:num>
  <w:num w:numId="26" w16cid:durableId="90440458">
    <w:abstractNumId w:val="9"/>
  </w:num>
  <w:num w:numId="27" w16cid:durableId="572474353">
    <w:abstractNumId w:val="2"/>
  </w:num>
  <w:num w:numId="28" w16cid:durableId="263079037">
    <w:abstractNumId w:val="35"/>
  </w:num>
  <w:num w:numId="29" w16cid:durableId="11029053">
    <w:abstractNumId w:val="37"/>
  </w:num>
  <w:num w:numId="30" w16cid:durableId="1891722393">
    <w:abstractNumId w:val="18"/>
  </w:num>
  <w:num w:numId="31" w16cid:durableId="1895652168">
    <w:abstractNumId w:val="7"/>
  </w:num>
  <w:num w:numId="32" w16cid:durableId="1223642339">
    <w:abstractNumId w:val="3"/>
  </w:num>
  <w:num w:numId="33" w16cid:durableId="607734691">
    <w:abstractNumId w:val="4"/>
  </w:num>
  <w:num w:numId="34" w16cid:durableId="1239486183">
    <w:abstractNumId w:val="8"/>
  </w:num>
  <w:num w:numId="35" w16cid:durableId="2004746480">
    <w:abstractNumId w:val="17"/>
  </w:num>
  <w:num w:numId="36" w16cid:durableId="260996655">
    <w:abstractNumId w:val="27"/>
  </w:num>
  <w:num w:numId="37" w16cid:durableId="1094204300">
    <w:abstractNumId w:val="33"/>
  </w:num>
  <w:num w:numId="38" w16cid:durableId="285896653">
    <w:abstractNumId w:val="28"/>
  </w:num>
  <w:num w:numId="39" w16cid:durableId="817502223">
    <w:abstractNumId w:val="38"/>
  </w:num>
  <w:num w:numId="40" w16cid:durableId="641276656">
    <w:abstractNumId w:val="36"/>
  </w:num>
  <w:num w:numId="41" w16cid:durableId="413092319">
    <w:abstractNumId w:val="29"/>
  </w:num>
  <w:num w:numId="42" w16cid:durableId="1981416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16E0"/>
    <w:rsid w:val="0000600A"/>
    <w:rsid w:val="00033F09"/>
    <w:rsid w:val="000345A1"/>
    <w:rsid w:val="00037ACC"/>
    <w:rsid w:val="00054941"/>
    <w:rsid w:val="00065618"/>
    <w:rsid w:val="00090213"/>
    <w:rsid w:val="00095687"/>
    <w:rsid w:val="00095803"/>
    <w:rsid w:val="0009674E"/>
    <w:rsid w:val="000A0968"/>
    <w:rsid w:val="000A3AF5"/>
    <w:rsid w:val="000A7E76"/>
    <w:rsid w:val="000D0ED5"/>
    <w:rsid w:val="000E79E1"/>
    <w:rsid w:val="000F0B0C"/>
    <w:rsid w:val="00115912"/>
    <w:rsid w:val="001248C3"/>
    <w:rsid w:val="001325AE"/>
    <w:rsid w:val="0013340C"/>
    <w:rsid w:val="00134620"/>
    <w:rsid w:val="00140846"/>
    <w:rsid w:val="001459A5"/>
    <w:rsid w:val="00145CAB"/>
    <w:rsid w:val="00153F8A"/>
    <w:rsid w:val="001542E8"/>
    <w:rsid w:val="00174D63"/>
    <w:rsid w:val="001755A1"/>
    <w:rsid w:val="00185D52"/>
    <w:rsid w:val="00192246"/>
    <w:rsid w:val="001A63FC"/>
    <w:rsid w:val="001B08DA"/>
    <w:rsid w:val="001D3836"/>
    <w:rsid w:val="001F3E3F"/>
    <w:rsid w:val="00216932"/>
    <w:rsid w:val="00233FE6"/>
    <w:rsid w:val="00243479"/>
    <w:rsid w:val="00245FD9"/>
    <w:rsid w:val="00250F01"/>
    <w:rsid w:val="00254140"/>
    <w:rsid w:val="0026311A"/>
    <w:rsid w:val="0026437B"/>
    <w:rsid w:val="00277A19"/>
    <w:rsid w:val="002B0FE8"/>
    <w:rsid w:val="002B2610"/>
    <w:rsid w:val="002B6C8A"/>
    <w:rsid w:val="002C3074"/>
    <w:rsid w:val="002D4822"/>
    <w:rsid w:val="002D562D"/>
    <w:rsid w:val="002D5752"/>
    <w:rsid w:val="002E2C60"/>
    <w:rsid w:val="002E311E"/>
    <w:rsid w:val="002E3AB5"/>
    <w:rsid w:val="002F0C3C"/>
    <w:rsid w:val="002F2CA3"/>
    <w:rsid w:val="00307B39"/>
    <w:rsid w:val="00307F58"/>
    <w:rsid w:val="00326E95"/>
    <w:rsid w:val="0033153F"/>
    <w:rsid w:val="00337399"/>
    <w:rsid w:val="0033747F"/>
    <w:rsid w:val="00337FAF"/>
    <w:rsid w:val="003431D7"/>
    <w:rsid w:val="00347930"/>
    <w:rsid w:val="003513F8"/>
    <w:rsid w:val="0035505C"/>
    <w:rsid w:val="0036041F"/>
    <w:rsid w:val="00370A90"/>
    <w:rsid w:val="003819A3"/>
    <w:rsid w:val="0038229E"/>
    <w:rsid w:val="003A6F9F"/>
    <w:rsid w:val="003C1ABB"/>
    <w:rsid w:val="003C2BDD"/>
    <w:rsid w:val="003E1BC0"/>
    <w:rsid w:val="003E391D"/>
    <w:rsid w:val="003E7F00"/>
    <w:rsid w:val="003F2854"/>
    <w:rsid w:val="003F2982"/>
    <w:rsid w:val="003F76D0"/>
    <w:rsid w:val="00405E7D"/>
    <w:rsid w:val="00407B29"/>
    <w:rsid w:val="0041007E"/>
    <w:rsid w:val="00412A40"/>
    <w:rsid w:val="004140E7"/>
    <w:rsid w:val="00415198"/>
    <w:rsid w:val="00415A39"/>
    <w:rsid w:val="00423717"/>
    <w:rsid w:val="00430202"/>
    <w:rsid w:val="004303FB"/>
    <w:rsid w:val="004307AA"/>
    <w:rsid w:val="004365DE"/>
    <w:rsid w:val="004407A6"/>
    <w:rsid w:val="00440EFE"/>
    <w:rsid w:val="004431DC"/>
    <w:rsid w:val="00454837"/>
    <w:rsid w:val="00466C01"/>
    <w:rsid w:val="00471387"/>
    <w:rsid w:val="00491EEC"/>
    <w:rsid w:val="00493376"/>
    <w:rsid w:val="00495655"/>
    <w:rsid w:val="00497469"/>
    <w:rsid w:val="004A17EF"/>
    <w:rsid w:val="004D1260"/>
    <w:rsid w:val="004F6DA4"/>
    <w:rsid w:val="00501289"/>
    <w:rsid w:val="005118C0"/>
    <w:rsid w:val="00513D9A"/>
    <w:rsid w:val="005235C1"/>
    <w:rsid w:val="005324F3"/>
    <w:rsid w:val="00533792"/>
    <w:rsid w:val="00535998"/>
    <w:rsid w:val="0054361B"/>
    <w:rsid w:val="005525D7"/>
    <w:rsid w:val="005540FD"/>
    <w:rsid w:val="005809FB"/>
    <w:rsid w:val="00582F75"/>
    <w:rsid w:val="00590533"/>
    <w:rsid w:val="005B5376"/>
    <w:rsid w:val="005B7E08"/>
    <w:rsid w:val="005C2869"/>
    <w:rsid w:val="005D66CC"/>
    <w:rsid w:val="005E6CBB"/>
    <w:rsid w:val="005F4AE7"/>
    <w:rsid w:val="005F60ED"/>
    <w:rsid w:val="0060164B"/>
    <w:rsid w:val="0060592F"/>
    <w:rsid w:val="00606E92"/>
    <w:rsid w:val="00607F16"/>
    <w:rsid w:val="006117B1"/>
    <w:rsid w:val="00625D21"/>
    <w:rsid w:val="00627AD9"/>
    <w:rsid w:val="00627BA9"/>
    <w:rsid w:val="00632697"/>
    <w:rsid w:val="00635052"/>
    <w:rsid w:val="006418DC"/>
    <w:rsid w:val="00643576"/>
    <w:rsid w:val="0065719E"/>
    <w:rsid w:val="006661A7"/>
    <w:rsid w:val="00676402"/>
    <w:rsid w:val="00687C16"/>
    <w:rsid w:val="006A7CA1"/>
    <w:rsid w:val="006B14CC"/>
    <w:rsid w:val="006C7818"/>
    <w:rsid w:val="006F17CB"/>
    <w:rsid w:val="00715657"/>
    <w:rsid w:val="00722F80"/>
    <w:rsid w:val="00731CED"/>
    <w:rsid w:val="0073258E"/>
    <w:rsid w:val="007514E0"/>
    <w:rsid w:val="0075590C"/>
    <w:rsid w:val="007629B3"/>
    <w:rsid w:val="00763606"/>
    <w:rsid w:val="007739B8"/>
    <w:rsid w:val="007773F0"/>
    <w:rsid w:val="00781C8E"/>
    <w:rsid w:val="007924D9"/>
    <w:rsid w:val="00794675"/>
    <w:rsid w:val="007947DB"/>
    <w:rsid w:val="00794F58"/>
    <w:rsid w:val="0079510F"/>
    <w:rsid w:val="00795B67"/>
    <w:rsid w:val="007A1A15"/>
    <w:rsid w:val="007A3D50"/>
    <w:rsid w:val="007E2CA0"/>
    <w:rsid w:val="007F1287"/>
    <w:rsid w:val="007F45FD"/>
    <w:rsid w:val="00804BE8"/>
    <w:rsid w:val="00805478"/>
    <w:rsid w:val="0081057F"/>
    <w:rsid w:val="00817FDD"/>
    <w:rsid w:val="008239B8"/>
    <w:rsid w:val="00827D88"/>
    <w:rsid w:val="008318D0"/>
    <w:rsid w:val="008320C0"/>
    <w:rsid w:val="008359F2"/>
    <w:rsid w:val="00842F24"/>
    <w:rsid w:val="0085172D"/>
    <w:rsid w:val="0085649F"/>
    <w:rsid w:val="008634EB"/>
    <w:rsid w:val="008743B2"/>
    <w:rsid w:val="00882C50"/>
    <w:rsid w:val="00883FBF"/>
    <w:rsid w:val="00884D4C"/>
    <w:rsid w:val="00890EEA"/>
    <w:rsid w:val="008B58AD"/>
    <w:rsid w:val="008C3D82"/>
    <w:rsid w:val="008C4916"/>
    <w:rsid w:val="008C7028"/>
    <w:rsid w:val="008D0F9A"/>
    <w:rsid w:val="008E59F3"/>
    <w:rsid w:val="008F43BE"/>
    <w:rsid w:val="00900967"/>
    <w:rsid w:val="00902C1E"/>
    <w:rsid w:val="00903418"/>
    <w:rsid w:val="00905073"/>
    <w:rsid w:val="00906563"/>
    <w:rsid w:val="00943F41"/>
    <w:rsid w:val="00946E24"/>
    <w:rsid w:val="00950F6B"/>
    <w:rsid w:val="009572C7"/>
    <w:rsid w:val="00965029"/>
    <w:rsid w:val="009657CB"/>
    <w:rsid w:val="009668F6"/>
    <w:rsid w:val="00973282"/>
    <w:rsid w:val="009744E9"/>
    <w:rsid w:val="00976552"/>
    <w:rsid w:val="00990341"/>
    <w:rsid w:val="009B1C0A"/>
    <w:rsid w:val="009D3C45"/>
    <w:rsid w:val="009E2EA9"/>
    <w:rsid w:val="009E6108"/>
    <w:rsid w:val="00A067B5"/>
    <w:rsid w:val="00A2759F"/>
    <w:rsid w:val="00A47B93"/>
    <w:rsid w:val="00A55EA3"/>
    <w:rsid w:val="00A577DE"/>
    <w:rsid w:val="00A62A03"/>
    <w:rsid w:val="00A643AA"/>
    <w:rsid w:val="00A66589"/>
    <w:rsid w:val="00A7589E"/>
    <w:rsid w:val="00A773A0"/>
    <w:rsid w:val="00A85AC8"/>
    <w:rsid w:val="00A90EAF"/>
    <w:rsid w:val="00A92239"/>
    <w:rsid w:val="00AC2DD5"/>
    <w:rsid w:val="00AE1B49"/>
    <w:rsid w:val="00AF19D2"/>
    <w:rsid w:val="00AF7FD8"/>
    <w:rsid w:val="00B23E0D"/>
    <w:rsid w:val="00B31766"/>
    <w:rsid w:val="00B40346"/>
    <w:rsid w:val="00B83E90"/>
    <w:rsid w:val="00B9082F"/>
    <w:rsid w:val="00BA4E15"/>
    <w:rsid w:val="00BA7F3E"/>
    <w:rsid w:val="00BB1476"/>
    <w:rsid w:val="00BC2896"/>
    <w:rsid w:val="00BD306E"/>
    <w:rsid w:val="00BD38F0"/>
    <w:rsid w:val="00BE222E"/>
    <w:rsid w:val="00BE6DCF"/>
    <w:rsid w:val="00BF0891"/>
    <w:rsid w:val="00BF0A0D"/>
    <w:rsid w:val="00BF1EB8"/>
    <w:rsid w:val="00BF6104"/>
    <w:rsid w:val="00C01D12"/>
    <w:rsid w:val="00C0442E"/>
    <w:rsid w:val="00C075B7"/>
    <w:rsid w:val="00C209D4"/>
    <w:rsid w:val="00C64E7B"/>
    <w:rsid w:val="00C8607A"/>
    <w:rsid w:val="00C86B4E"/>
    <w:rsid w:val="00C914D1"/>
    <w:rsid w:val="00C914DF"/>
    <w:rsid w:val="00CA2502"/>
    <w:rsid w:val="00CC4043"/>
    <w:rsid w:val="00CC7866"/>
    <w:rsid w:val="00CE27D1"/>
    <w:rsid w:val="00CF5A1B"/>
    <w:rsid w:val="00D02498"/>
    <w:rsid w:val="00D06DF3"/>
    <w:rsid w:val="00D10233"/>
    <w:rsid w:val="00D15070"/>
    <w:rsid w:val="00D2036D"/>
    <w:rsid w:val="00D20541"/>
    <w:rsid w:val="00D2238F"/>
    <w:rsid w:val="00D235C2"/>
    <w:rsid w:val="00D24C50"/>
    <w:rsid w:val="00D4391D"/>
    <w:rsid w:val="00D7690C"/>
    <w:rsid w:val="00D85DB4"/>
    <w:rsid w:val="00DB521C"/>
    <w:rsid w:val="00DC4A0A"/>
    <w:rsid w:val="00DE5D54"/>
    <w:rsid w:val="00E0530B"/>
    <w:rsid w:val="00E13325"/>
    <w:rsid w:val="00E149A2"/>
    <w:rsid w:val="00E31570"/>
    <w:rsid w:val="00E316B2"/>
    <w:rsid w:val="00E32FC7"/>
    <w:rsid w:val="00E47A5C"/>
    <w:rsid w:val="00E51369"/>
    <w:rsid w:val="00E569DA"/>
    <w:rsid w:val="00E6665A"/>
    <w:rsid w:val="00E6669C"/>
    <w:rsid w:val="00E669F1"/>
    <w:rsid w:val="00E67FD3"/>
    <w:rsid w:val="00E74583"/>
    <w:rsid w:val="00E82320"/>
    <w:rsid w:val="00E82455"/>
    <w:rsid w:val="00E97785"/>
    <w:rsid w:val="00EA4780"/>
    <w:rsid w:val="00EA4C88"/>
    <w:rsid w:val="00EB02AA"/>
    <w:rsid w:val="00EB0B07"/>
    <w:rsid w:val="00EC0F65"/>
    <w:rsid w:val="00EC5230"/>
    <w:rsid w:val="00ED6622"/>
    <w:rsid w:val="00EF249C"/>
    <w:rsid w:val="00EF40C8"/>
    <w:rsid w:val="00F0103A"/>
    <w:rsid w:val="00F0622E"/>
    <w:rsid w:val="00F214D4"/>
    <w:rsid w:val="00F34984"/>
    <w:rsid w:val="00F37CDB"/>
    <w:rsid w:val="00F44319"/>
    <w:rsid w:val="00F4792C"/>
    <w:rsid w:val="00F50BBB"/>
    <w:rsid w:val="00F56905"/>
    <w:rsid w:val="00F84B87"/>
    <w:rsid w:val="00F86436"/>
    <w:rsid w:val="00F9249B"/>
    <w:rsid w:val="00F955A5"/>
    <w:rsid w:val="00F9768B"/>
    <w:rsid w:val="00FB5E56"/>
    <w:rsid w:val="00FB5F13"/>
    <w:rsid w:val="00FD7A23"/>
    <w:rsid w:val="00FE5010"/>
    <w:rsid w:val="00FF0A9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styleId="UnresolvedMention">
    <w:name w:val="Unresolved Mention"/>
    <w:basedOn w:val="DefaultParagraphFont"/>
    <w:uiPriority w:val="99"/>
    <w:semiHidden/>
    <w:unhideWhenUsed/>
    <w:rsid w:val="005D6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tpbank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ria.povh@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CFB9-2CDA-46EC-8DCD-B4950D3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3305</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Ivan Sekovski</cp:lastModifiedBy>
  <cp:revision>4</cp:revision>
  <cp:lastPrinted>2021-06-08T07:42:00Z</cp:lastPrinted>
  <dcterms:created xsi:type="dcterms:W3CDTF">2023-12-04T13:12:00Z</dcterms:created>
  <dcterms:modified xsi:type="dcterms:W3CDTF">2023-12-06T12:59:00Z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53cdf4590e9f6c475f25bd2b14136685719481c10db767dd9ab92075739b4423</vt:lpwstr>
  </property>
</Properties>
</file>